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27822" w14:textId="40D5FC16" w:rsidR="00701FDE" w:rsidRPr="00745247" w:rsidRDefault="006D1D7E" w:rsidP="00701FDE">
      <w:pPr>
        <w:pStyle w:val="a3"/>
        <w:jc w:val="center"/>
        <w:rPr>
          <w:rFonts w:ascii="Times New Roman" w:hAnsi="Times New Roman" w:cs="Times New Roman"/>
          <w:b/>
          <w:sz w:val="20"/>
          <w:szCs w:val="20"/>
        </w:rPr>
      </w:pPr>
      <w:r w:rsidRPr="00745247">
        <w:rPr>
          <w:rFonts w:ascii="Times New Roman" w:hAnsi="Times New Roman" w:cs="Times New Roman"/>
          <w:b/>
          <w:sz w:val="20"/>
          <w:szCs w:val="20"/>
        </w:rPr>
        <w:t>СПІВПРАЦЯ ВЛАДИ ТА ГРОМАДСЬКОСТІ У СТРАТЕГІЇ РОЗВИТКУ</w:t>
      </w:r>
    </w:p>
    <w:p w14:paraId="65E75E21" w14:textId="7768C961" w:rsidR="0016522F" w:rsidRPr="00745247" w:rsidRDefault="006D1D7E" w:rsidP="00701FDE">
      <w:pPr>
        <w:pStyle w:val="a3"/>
        <w:jc w:val="center"/>
        <w:rPr>
          <w:rFonts w:ascii="Times New Roman" w:hAnsi="Times New Roman" w:cs="Times New Roman"/>
          <w:b/>
          <w:sz w:val="20"/>
          <w:szCs w:val="20"/>
        </w:rPr>
      </w:pPr>
      <w:r w:rsidRPr="00745247">
        <w:rPr>
          <w:rFonts w:ascii="Times New Roman" w:hAnsi="Times New Roman" w:cs="Times New Roman"/>
          <w:b/>
          <w:sz w:val="20"/>
          <w:szCs w:val="20"/>
        </w:rPr>
        <w:t>СІЛЬСЬКОГО ГОСПОДАРСТВ</w:t>
      </w:r>
      <w:bookmarkStart w:id="0" w:name="_GoBack"/>
      <w:bookmarkEnd w:id="0"/>
      <w:r w:rsidRPr="00745247">
        <w:rPr>
          <w:rFonts w:ascii="Times New Roman" w:hAnsi="Times New Roman" w:cs="Times New Roman"/>
          <w:b/>
          <w:sz w:val="20"/>
          <w:szCs w:val="20"/>
        </w:rPr>
        <w:t xml:space="preserve">А ТА СІЛЬСЬКИХ ТЕРИТОРІЙ </w:t>
      </w:r>
      <w:r>
        <w:rPr>
          <w:rFonts w:ascii="Times New Roman" w:hAnsi="Times New Roman" w:cs="Times New Roman"/>
          <w:b/>
          <w:sz w:val="20"/>
          <w:szCs w:val="20"/>
        </w:rPr>
        <w:t xml:space="preserve">НА ПЕРІОД </w:t>
      </w:r>
      <w:r w:rsidRPr="00745247">
        <w:rPr>
          <w:rFonts w:ascii="Times New Roman" w:hAnsi="Times New Roman" w:cs="Times New Roman"/>
          <w:b/>
          <w:sz w:val="20"/>
          <w:szCs w:val="20"/>
        </w:rPr>
        <w:t>ДО 2030 РОКУ</w:t>
      </w:r>
    </w:p>
    <w:p w14:paraId="78131783" w14:textId="77777777" w:rsidR="00EB19C4" w:rsidRPr="00745247" w:rsidRDefault="00EB19C4" w:rsidP="00701FDE">
      <w:pPr>
        <w:pStyle w:val="a3"/>
        <w:jc w:val="center"/>
        <w:rPr>
          <w:rFonts w:ascii="Times New Roman" w:hAnsi="Times New Roman" w:cs="Times New Roman"/>
          <w:b/>
          <w:sz w:val="20"/>
          <w:szCs w:val="20"/>
        </w:rPr>
      </w:pPr>
    </w:p>
    <w:p w14:paraId="0F7A02A4" w14:textId="77777777" w:rsidR="00701FDE" w:rsidRPr="00745247" w:rsidRDefault="00701FDE" w:rsidP="00701FDE">
      <w:pPr>
        <w:pStyle w:val="a3"/>
        <w:jc w:val="both"/>
        <w:rPr>
          <w:rFonts w:ascii="Times New Roman" w:eastAsia="Times New Roman" w:hAnsi="Times New Roman" w:cs="Times New Roman"/>
          <w:i/>
          <w:sz w:val="20"/>
          <w:szCs w:val="20"/>
          <w:lang w:eastAsia="uk-UA"/>
        </w:rPr>
      </w:pPr>
      <w:r w:rsidRPr="00745247">
        <w:rPr>
          <w:rFonts w:ascii="Times New Roman" w:hAnsi="Times New Roman" w:cs="Times New Roman"/>
          <w:i/>
          <w:sz w:val="20"/>
          <w:szCs w:val="20"/>
        </w:rPr>
        <w:t xml:space="preserve">Співпраця органів публічної влади та інститутів громадянського суспільства є ключовою умовою ефективної реалізації стратегічних документів у сфері аграрної політики. Якщо аналізувати Спільну аграрну політику ЄС (САП ЄС), то неможливо не помітити, що базується на взаємодії влади та суспільства. </w:t>
      </w:r>
      <w:r w:rsidRPr="00701FDE">
        <w:rPr>
          <w:rFonts w:ascii="Times New Roman" w:eastAsia="Times New Roman" w:hAnsi="Times New Roman" w:cs="Times New Roman"/>
          <w:i/>
          <w:sz w:val="20"/>
          <w:szCs w:val="20"/>
          <w:lang w:eastAsia="uk-UA"/>
        </w:rPr>
        <w:t xml:space="preserve">У листопаді 2024 року Україна отримала стратегічний документ, що визначає вектор аграрної політики до 2030 року </w:t>
      </w:r>
      <w:r w:rsidRPr="00745247">
        <w:rPr>
          <w:rFonts w:ascii="Times New Roman" w:eastAsia="Times New Roman" w:hAnsi="Times New Roman" w:cs="Times New Roman"/>
          <w:i/>
          <w:sz w:val="20"/>
          <w:szCs w:val="20"/>
          <w:lang w:eastAsia="uk-UA"/>
        </w:rPr>
        <w:t>-</w:t>
      </w:r>
      <w:r w:rsidRPr="00701FDE">
        <w:rPr>
          <w:rFonts w:ascii="Times New Roman" w:eastAsia="Times New Roman" w:hAnsi="Times New Roman" w:cs="Times New Roman"/>
          <w:i/>
          <w:sz w:val="20"/>
          <w:szCs w:val="20"/>
          <w:lang w:eastAsia="uk-UA"/>
        </w:rPr>
        <w:t xml:space="preserve"> </w:t>
      </w:r>
      <w:r w:rsidRPr="00745247">
        <w:rPr>
          <w:rFonts w:ascii="Times New Roman" w:eastAsia="Times New Roman" w:hAnsi="Times New Roman" w:cs="Times New Roman"/>
          <w:bCs/>
          <w:i/>
          <w:sz w:val="20"/>
          <w:szCs w:val="20"/>
          <w:lang w:eastAsia="uk-UA"/>
        </w:rPr>
        <w:t>Стратегію розвитку сільського господарства та сільських територій</w:t>
      </w:r>
      <w:r w:rsidRPr="00745247">
        <w:rPr>
          <w:rFonts w:ascii="Times New Roman" w:eastAsia="Times New Roman" w:hAnsi="Times New Roman" w:cs="Times New Roman"/>
          <w:i/>
          <w:sz w:val="20"/>
          <w:szCs w:val="20"/>
          <w:lang w:eastAsia="uk-UA"/>
        </w:rPr>
        <w:t>, а також Операційний план заходів на 2025-2027 роки</w:t>
      </w:r>
      <w:r w:rsidRPr="00745247">
        <w:rPr>
          <w:rFonts w:ascii="Times New Roman" w:hAnsi="Times New Roman" w:cs="Times New Roman"/>
          <w:i/>
          <w:sz w:val="20"/>
          <w:szCs w:val="20"/>
        </w:rPr>
        <w:t xml:space="preserve"> щодо</w:t>
      </w:r>
      <w:r w:rsidRPr="00745247">
        <w:rPr>
          <w:rFonts w:ascii="Times New Roman" w:eastAsia="Times New Roman" w:hAnsi="Times New Roman" w:cs="Times New Roman"/>
          <w:i/>
          <w:sz w:val="20"/>
          <w:szCs w:val="20"/>
          <w:lang w:eastAsia="uk-UA"/>
        </w:rPr>
        <w:t xml:space="preserve"> її реалізації</w:t>
      </w:r>
      <w:r w:rsidR="007C4078">
        <w:rPr>
          <w:rFonts w:ascii="Times New Roman" w:eastAsia="Times New Roman" w:hAnsi="Times New Roman" w:cs="Times New Roman"/>
          <w:i/>
          <w:sz w:val="20"/>
          <w:szCs w:val="20"/>
          <w:lang w:eastAsia="uk-UA"/>
        </w:rPr>
        <w:t xml:space="preserve"> (</w:t>
      </w:r>
      <w:r w:rsidR="007C4078" w:rsidRPr="007C4078">
        <w:rPr>
          <w:rFonts w:ascii="Times New Roman" w:eastAsia="Times New Roman" w:hAnsi="Times New Roman" w:cs="Times New Roman"/>
          <w:i/>
          <w:sz w:val="20"/>
          <w:szCs w:val="20"/>
          <w:lang w:eastAsia="uk-UA"/>
        </w:rPr>
        <w:t xml:space="preserve">розпорядження </w:t>
      </w:r>
      <w:r w:rsidR="007C4078">
        <w:rPr>
          <w:rFonts w:ascii="Times New Roman" w:eastAsia="Times New Roman" w:hAnsi="Times New Roman" w:cs="Times New Roman"/>
          <w:i/>
          <w:sz w:val="20"/>
          <w:szCs w:val="20"/>
          <w:lang w:eastAsia="uk-UA"/>
        </w:rPr>
        <w:t xml:space="preserve">Кабінету міністрів України </w:t>
      </w:r>
      <w:r w:rsidR="007C4078" w:rsidRPr="007C4078">
        <w:rPr>
          <w:rFonts w:ascii="Times New Roman" w:eastAsia="Times New Roman" w:hAnsi="Times New Roman" w:cs="Times New Roman"/>
          <w:i/>
          <w:sz w:val="20"/>
          <w:szCs w:val="20"/>
          <w:lang w:eastAsia="uk-UA"/>
        </w:rPr>
        <w:t>від 15 листопада 2024 р. № 1163-р</w:t>
      </w:r>
      <w:r w:rsidR="007C4078">
        <w:rPr>
          <w:rFonts w:ascii="Times New Roman" w:eastAsia="Times New Roman" w:hAnsi="Times New Roman" w:cs="Times New Roman"/>
          <w:i/>
          <w:sz w:val="20"/>
          <w:szCs w:val="20"/>
          <w:lang w:eastAsia="uk-UA"/>
        </w:rPr>
        <w:t xml:space="preserve"> від )</w:t>
      </w:r>
      <w:r w:rsidRPr="00745247">
        <w:rPr>
          <w:rFonts w:ascii="Times New Roman" w:eastAsia="Times New Roman" w:hAnsi="Times New Roman" w:cs="Times New Roman"/>
          <w:i/>
          <w:sz w:val="20"/>
          <w:szCs w:val="20"/>
          <w:lang w:eastAsia="uk-UA"/>
        </w:rPr>
        <w:t xml:space="preserve">. Чи насправді за </w:t>
      </w:r>
      <w:r w:rsidRPr="00701FDE">
        <w:rPr>
          <w:rFonts w:ascii="Times New Roman" w:eastAsia="Times New Roman" w:hAnsi="Times New Roman" w:cs="Times New Roman"/>
          <w:i/>
          <w:sz w:val="20"/>
          <w:szCs w:val="20"/>
          <w:lang w:eastAsia="uk-UA"/>
        </w:rPr>
        <w:t xml:space="preserve">сухими формулюваннями урядового рішення приховується значно глибший процес </w:t>
      </w:r>
      <w:r w:rsidRPr="00745247">
        <w:rPr>
          <w:rFonts w:ascii="Times New Roman" w:eastAsia="Times New Roman" w:hAnsi="Times New Roman" w:cs="Times New Roman"/>
          <w:i/>
          <w:sz w:val="20"/>
          <w:szCs w:val="20"/>
          <w:lang w:eastAsia="uk-UA"/>
        </w:rPr>
        <w:t>-</w:t>
      </w:r>
      <w:r w:rsidRPr="00701FDE">
        <w:rPr>
          <w:rFonts w:ascii="Times New Roman" w:eastAsia="Times New Roman" w:hAnsi="Times New Roman" w:cs="Times New Roman"/>
          <w:i/>
          <w:sz w:val="20"/>
          <w:szCs w:val="20"/>
          <w:lang w:eastAsia="uk-UA"/>
        </w:rPr>
        <w:t xml:space="preserve"> поступовий перехід від моделі «державного директивного управління» до моделі </w:t>
      </w:r>
      <w:r w:rsidRPr="00745247">
        <w:rPr>
          <w:rFonts w:ascii="Times New Roman" w:eastAsia="Times New Roman" w:hAnsi="Times New Roman" w:cs="Times New Roman"/>
          <w:bCs/>
          <w:i/>
          <w:sz w:val="20"/>
          <w:szCs w:val="20"/>
          <w:lang w:eastAsia="uk-UA"/>
        </w:rPr>
        <w:t>партнерства влади та громадськості</w:t>
      </w:r>
      <w:r w:rsidRPr="00701FDE">
        <w:rPr>
          <w:rFonts w:ascii="Times New Roman" w:eastAsia="Times New Roman" w:hAnsi="Times New Roman" w:cs="Times New Roman"/>
          <w:i/>
          <w:sz w:val="20"/>
          <w:szCs w:val="20"/>
          <w:lang w:eastAsia="uk-UA"/>
        </w:rPr>
        <w:t>.</w:t>
      </w:r>
    </w:p>
    <w:p w14:paraId="56C3FF68" w14:textId="77777777" w:rsidR="00701FDE" w:rsidRPr="00745247" w:rsidRDefault="00701FDE" w:rsidP="00701FDE">
      <w:pPr>
        <w:pStyle w:val="a3"/>
        <w:jc w:val="both"/>
        <w:rPr>
          <w:rFonts w:ascii="Times New Roman" w:eastAsia="Times New Roman" w:hAnsi="Times New Roman" w:cs="Times New Roman"/>
          <w:sz w:val="20"/>
          <w:szCs w:val="20"/>
          <w:lang w:eastAsia="uk-UA"/>
        </w:rPr>
      </w:pPr>
    </w:p>
    <w:p w14:paraId="382A0A9B" w14:textId="77777777" w:rsidR="00745247" w:rsidRDefault="00FA271E" w:rsidP="00FA271E">
      <w:pPr>
        <w:pStyle w:val="a3"/>
        <w:ind w:firstLine="567"/>
        <w:jc w:val="both"/>
        <w:rPr>
          <w:rFonts w:ascii="Times New Roman" w:hAnsi="Times New Roman" w:cs="Times New Roman"/>
          <w:b/>
          <w:sz w:val="20"/>
          <w:szCs w:val="20"/>
          <w:lang w:eastAsia="uk-UA"/>
        </w:rPr>
      </w:pPr>
      <w:r>
        <w:rPr>
          <w:rFonts w:ascii="Times New Roman" w:hAnsi="Times New Roman" w:cs="Times New Roman"/>
          <w:b/>
          <w:sz w:val="20"/>
          <w:szCs w:val="20"/>
          <w:lang w:eastAsia="uk-UA"/>
        </w:rPr>
        <w:t>ПІДХОДИ, ПРИНЦИПИ</w:t>
      </w:r>
    </w:p>
    <w:p w14:paraId="3FE59D46" w14:textId="77777777" w:rsidR="00745247" w:rsidRDefault="00745247" w:rsidP="007F27C3">
      <w:pPr>
        <w:pStyle w:val="a3"/>
        <w:jc w:val="both"/>
        <w:rPr>
          <w:rFonts w:ascii="Times New Roman" w:hAnsi="Times New Roman" w:cs="Times New Roman"/>
          <w:b/>
          <w:sz w:val="20"/>
          <w:szCs w:val="20"/>
          <w:lang w:eastAsia="uk-UA"/>
        </w:rPr>
      </w:pPr>
    </w:p>
    <w:p w14:paraId="66CF4C69" w14:textId="77777777" w:rsidR="007F27C3" w:rsidRPr="00FA271E" w:rsidRDefault="00701FDE" w:rsidP="00FA271E">
      <w:pPr>
        <w:pStyle w:val="a3"/>
        <w:ind w:firstLine="567"/>
        <w:jc w:val="both"/>
        <w:rPr>
          <w:rFonts w:ascii="Times New Roman" w:hAnsi="Times New Roman" w:cs="Times New Roman"/>
          <w:b/>
          <w:sz w:val="20"/>
          <w:szCs w:val="20"/>
          <w:lang w:eastAsia="uk-UA"/>
        </w:rPr>
      </w:pPr>
      <w:r w:rsidRPr="00FA271E">
        <w:rPr>
          <w:rFonts w:ascii="Times New Roman" w:hAnsi="Times New Roman" w:cs="Times New Roman"/>
          <w:b/>
          <w:sz w:val="20"/>
          <w:szCs w:val="20"/>
          <w:lang w:eastAsia="uk-UA"/>
        </w:rPr>
        <w:t>Чому співпраця</w:t>
      </w:r>
      <w:r w:rsidR="007F27C3" w:rsidRPr="00FA271E">
        <w:rPr>
          <w:rFonts w:ascii="Times New Roman" w:hAnsi="Times New Roman" w:cs="Times New Roman"/>
          <w:b/>
          <w:sz w:val="20"/>
          <w:szCs w:val="20"/>
          <w:lang w:eastAsia="uk-UA"/>
        </w:rPr>
        <w:t xml:space="preserve"> влади та організацій громадянського суспільства є </w:t>
      </w:r>
      <w:r w:rsidR="00FA271E" w:rsidRPr="00FA271E">
        <w:rPr>
          <w:rFonts w:ascii="Times New Roman" w:hAnsi="Times New Roman" w:cs="Times New Roman"/>
          <w:b/>
          <w:sz w:val="20"/>
          <w:szCs w:val="20"/>
          <w:lang w:eastAsia="uk-UA"/>
        </w:rPr>
        <w:t>важли</w:t>
      </w:r>
      <w:r w:rsidR="00FA271E">
        <w:rPr>
          <w:rFonts w:ascii="Times New Roman" w:hAnsi="Times New Roman" w:cs="Times New Roman"/>
          <w:b/>
          <w:sz w:val="20"/>
          <w:szCs w:val="20"/>
          <w:lang w:eastAsia="uk-UA"/>
        </w:rPr>
        <w:t>в</w:t>
      </w:r>
      <w:r w:rsidR="00FA271E" w:rsidRPr="00FA271E">
        <w:rPr>
          <w:rFonts w:ascii="Times New Roman" w:hAnsi="Times New Roman" w:cs="Times New Roman"/>
          <w:b/>
          <w:sz w:val="20"/>
          <w:szCs w:val="20"/>
          <w:lang w:eastAsia="uk-UA"/>
        </w:rPr>
        <w:t>ою</w:t>
      </w:r>
    </w:p>
    <w:p w14:paraId="39B34B03" w14:textId="77777777" w:rsidR="00820EC0" w:rsidRDefault="00820EC0" w:rsidP="00FA271E">
      <w:pPr>
        <w:pStyle w:val="a3"/>
        <w:ind w:firstLine="567"/>
        <w:jc w:val="both"/>
        <w:rPr>
          <w:rFonts w:ascii="Times New Roman" w:hAnsi="Times New Roman" w:cs="Times New Roman"/>
          <w:sz w:val="20"/>
          <w:szCs w:val="20"/>
          <w:lang w:eastAsia="uk-UA"/>
        </w:rPr>
      </w:pPr>
    </w:p>
    <w:p w14:paraId="2E517706" w14:textId="77777777" w:rsidR="00701FDE" w:rsidRPr="00FA271E" w:rsidRDefault="007F27C3" w:rsidP="00FA271E">
      <w:pPr>
        <w:pStyle w:val="a3"/>
        <w:ind w:firstLine="567"/>
        <w:jc w:val="both"/>
        <w:rPr>
          <w:rFonts w:ascii="Times New Roman" w:hAnsi="Times New Roman" w:cs="Times New Roman"/>
          <w:sz w:val="20"/>
          <w:szCs w:val="20"/>
          <w:lang w:eastAsia="uk-UA"/>
        </w:rPr>
      </w:pPr>
      <w:r w:rsidRPr="00FA271E">
        <w:rPr>
          <w:rFonts w:ascii="Times New Roman" w:hAnsi="Times New Roman" w:cs="Times New Roman"/>
          <w:sz w:val="20"/>
          <w:szCs w:val="20"/>
          <w:lang w:eastAsia="uk-UA"/>
        </w:rPr>
        <w:t>С</w:t>
      </w:r>
      <w:r w:rsidR="00701FDE" w:rsidRPr="00FA271E">
        <w:rPr>
          <w:rFonts w:ascii="Times New Roman" w:hAnsi="Times New Roman" w:cs="Times New Roman"/>
          <w:sz w:val="20"/>
          <w:szCs w:val="20"/>
          <w:lang w:eastAsia="uk-UA"/>
        </w:rPr>
        <w:t>ільське господарство — це не лише експорт і валова продукція. Це люди, громади, фермери, кооперативи, дорадчі служби, громадські об’єднання. Без їх залучення жодна стратегія не працює.</w:t>
      </w:r>
    </w:p>
    <w:p w14:paraId="064FFF38" w14:textId="77777777" w:rsidR="007F27C3" w:rsidRPr="00FA271E" w:rsidRDefault="007F27C3"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Наближення </w:t>
      </w:r>
      <w:r w:rsidR="007778A7">
        <w:rPr>
          <w:rFonts w:ascii="Times New Roman" w:hAnsi="Times New Roman" w:cs="Times New Roman"/>
          <w:sz w:val="20"/>
          <w:szCs w:val="20"/>
        </w:rPr>
        <w:t xml:space="preserve">української аграрної політики </w:t>
      </w:r>
      <w:r w:rsidRPr="00FA271E">
        <w:rPr>
          <w:rFonts w:ascii="Times New Roman" w:hAnsi="Times New Roman" w:cs="Times New Roman"/>
          <w:sz w:val="20"/>
          <w:szCs w:val="20"/>
        </w:rPr>
        <w:t xml:space="preserve">до Спільної аграрної політики ЄС передбачає </w:t>
      </w:r>
      <w:r w:rsidR="007778A7">
        <w:rPr>
          <w:rFonts w:ascii="Times New Roman" w:hAnsi="Times New Roman" w:cs="Times New Roman"/>
          <w:sz w:val="20"/>
          <w:szCs w:val="20"/>
        </w:rPr>
        <w:t xml:space="preserve">запровадження в українську політику та практику </w:t>
      </w:r>
      <w:r w:rsidRPr="00FA271E">
        <w:rPr>
          <w:rFonts w:ascii="Times New Roman" w:hAnsi="Times New Roman" w:cs="Times New Roman"/>
          <w:sz w:val="20"/>
          <w:szCs w:val="20"/>
        </w:rPr>
        <w:t>багаторівнев</w:t>
      </w:r>
      <w:r w:rsidR="007778A7">
        <w:rPr>
          <w:rFonts w:ascii="Times New Roman" w:hAnsi="Times New Roman" w:cs="Times New Roman"/>
          <w:sz w:val="20"/>
          <w:szCs w:val="20"/>
        </w:rPr>
        <w:t>ого</w:t>
      </w:r>
      <w:r w:rsidRPr="00FA271E">
        <w:rPr>
          <w:rFonts w:ascii="Times New Roman" w:hAnsi="Times New Roman" w:cs="Times New Roman"/>
          <w:sz w:val="20"/>
          <w:szCs w:val="20"/>
        </w:rPr>
        <w:t xml:space="preserve"> врядування</w:t>
      </w:r>
      <w:r w:rsidR="007778A7">
        <w:rPr>
          <w:rFonts w:ascii="Times New Roman" w:hAnsi="Times New Roman" w:cs="Times New Roman"/>
          <w:sz w:val="20"/>
          <w:szCs w:val="20"/>
        </w:rPr>
        <w:t>,</w:t>
      </w:r>
      <w:r w:rsidRPr="00FA271E">
        <w:rPr>
          <w:rFonts w:ascii="Times New Roman" w:hAnsi="Times New Roman" w:cs="Times New Roman"/>
          <w:sz w:val="20"/>
          <w:szCs w:val="20"/>
        </w:rPr>
        <w:t xml:space="preserve"> участь зацікавлених сторін. Саме тому під час розробки Стратегії проводилися публічні консультації, а документ обговорювався із профільними асоціаціями та експертними середовищами.</w:t>
      </w:r>
    </w:p>
    <w:p w14:paraId="45FEB93F" w14:textId="77777777" w:rsidR="007F27C3" w:rsidRPr="00FA271E" w:rsidRDefault="007F27C3" w:rsidP="00FA271E">
      <w:pPr>
        <w:pStyle w:val="a3"/>
        <w:ind w:firstLine="567"/>
        <w:jc w:val="both"/>
        <w:rPr>
          <w:rFonts w:ascii="Times New Roman" w:hAnsi="Times New Roman" w:cs="Times New Roman"/>
          <w:i/>
          <w:sz w:val="20"/>
          <w:szCs w:val="20"/>
        </w:rPr>
      </w:pPr>
      <w:r w:rsidRPr="00FA271E">
        <w:rPr>
          <w:rFonts w:ascii="Times New Roman" w:hAnsi="Times New Roman" w:cs="Times New Roman"/>
          <w:sz w:val="20"/>
          <w:szCs w:val="20"/>
        </w:rPr>
        <w:t xml:space="preserve">Стратегія з’явилася в період активної інтеграції України до ЄС — і вона мала б закласти нову культуру аграрного врядування: </w:t>
      </w:r>
      <w:r w:rsidRPr="00FA271E">
        <w:rPr>
          <w:rFonts w:ascii="Times New Roman" w:hAnsi="Times New Roman" w:cs="Times New Roman"/>
          <w:i/>
          <w:sz w:val="20"/>
          <w:szCs w:val="20"/>
        </w:rPr>
        <w:t xml:space="preserve">не «для аграріїв», а </w:t>
      </w:r>
      <w:r w:rsidRPr="00FA271E">
        <w:rPr>
          <w:rStyle w:val="a5"/>
          <w:rFonts w:ascii="Times New Roman" w:hAnsi="Times New Roman" w:cs="Times New Roman"/>
          <w:b w:val="0"/>
          <w:i/>
          <w:sz w:val="20"/>
          <w:szCs w:val="20"/>
        </w:rPr>
        <w:t>разом з аграріями</w:t>
      </w:r>
      <w:r w:rsidRPr="00FA271E">
        <w:rPr>
          <w:rFonts w:ascii="Times New Roman" w:hAnsi="Times New Roman" w:cs="Times New Roman"/>
          <w:i/>
          <w:sz w:val="20"/>
          <w:szCs w:val="20"/>
        </w:rPr>
        <w:t>.</w:t>
      </w:r>
    </w:p>
    <w:p w14:paraId="58157EAD" w14:textId="1C97F4F7" w:rsidR="007F27C3" w:rsidRDefault="007F27C3"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Ще більшої актуальності набуває така співпраця, якщо ми говоримо про більш ширший контекст аграрної політики – про сільський розвиток. Тут ще більше розмаїття організацій громадянського суспільства, які могли б </w:t>
      </w:r>
      <w:r w:rsidRPr="00FA271E">
        <w:rPr>
          <w:rFonts w:ascii="Times New Roman" w:hAnsi="Times New Roman" w:cs="Times New Roman"/>
          <w:i/>
          <w:sz w:val="20"/>
          <w:szCs w:val="20"/>
        </w:rPr>
        <w:t>стати важливим ресурсом</w:t>
      </w:r>
      <w:r w:rsidRPr="00FA271E">
        <w:rPr>
          <w:rFonts w:ascii="Times New Roman" w:hAnsi="Times New Roman" w:cs="Times New Roman"/>
          <w:sz w:val="20"/>
          <w:szCs w:val="20"/>
        </w:rPr>
        <w:t xml:space="preserve"> (саме так - ресурсом!) як для формування, так і реалізацію політики сільського розвитку</w:t>
      </w:r>
      <w:r w:rsidR="00FA271E">
        <w:rPr>
          <w:rFonts w:ascii="Times New Roman" w:hAnsi="Times New Roman" w:cs="Times New Roman"/>
          <w:sz w:val="20"/>
          <w:szCs w:val="20"/>
        </w:rPr>
        <w:t>, який поки що використовується не надто ефективно</w:t>
      </w:r>
      <w:r w:rsidRPr="00FA271E">
        <w:rPr>
          <w:rFonts w:ascii="Times New Roman" w:hAnsi="Times New Roman" w:cs="Times New Roman"/>
          <w:sz w:val="20"/>
          <w:szCs w:val="20"/>
        </w:rPr>
        <w:t>.</w:t>
      </w:r>
    </w:p>
    <w:p w14:paraId="0C9D6566" w14:textId="7887CD94" w:rsidR="00AE62C0" w:rsidRDefault="00AE62C0" w:rsidP="00FA271E">
      <w:pPr>
        <w:pStyle w:val="a3"/>
        <w:ind w:firstLine="567"/>
        <w:jc w:val="both"/>
        <w:rPr>
          <w:rFonts w:ascii="Times New Roman" w:hAnsi="Times New Roman" w:cs="Times New Roman"/>
          <w:sz w:val="20"/>
          <w:szCs w:val="20"/>
        </w:rPr>
      </w:pPr>
    </w:p>
    <w:p w14:paraId="2E878E1B" w14:textId="77777777" w:rsidR="00AE62C0" w:rsidRPr="00EA2236" w:rsidRDefault="00AE62C0" w:rsidP="00AE62C0">
      <w:pPr>
        <w:pStyle w:val="a3"/>
        <w:ind w:firstLine="567"/>
        <w:jc w:val="both"/>
        <w:rPr>
          <w:rFonts w:ascii="Times New Roman" w:hAnsi="Times New Roman" w:cs="Times New Roman"/>
          <w:b/>
          <w:sz w:val="20"/>
          <w:szCs w:val="20"/>
          <w:lang w:eastAsia="uk-UA"/>
        </w:rPr>
      </w:pPr>
      <w:r w:rsidRPr="00EA2236">
        <w:rPr>
          <w:rFonts w:ascii="Times New Roman" w:hAnsi="Times New Roman" w:cs="Times New Roman"/>
          <w:b/>
          <w:sz w:val="20"/>
          <w:szCs w:val="20"/>
          <w:lang w:eastAsia="uk-UA"/>
        </w:rPr>
        <w:t>Публічність і взаємодія як принцип</w:t>
      </w:r>
    </w:p>
    <w:p w14:paraId="21635F07" w14:textId="77777777" w:rsidR="00AE62C0" w:rsidRDefault="00AE62C0" w:rsidP="00AE62C0">
      <w:pPr>
        <w:pStyle w:val="a3"/>
        <w:ind w:firstLine="567"/>
        <w:jc w:val="both"/>
        <w:rPr>
          <w:rFonts w:ascii="Times New Roman" w:hAnsi="Times New Roman" w:cs="Times New Roman"/>
          <w:sz w:val="20"/>
          <w:szCs w:val="20"/>
          <w:lang w:eastAsia="uk-UA"/>
        </w:rPr>
      </w:pPr>
    </w:p>
    <w:p w14:paraId="7C415260" w14:textId="77777777" w:rsidR="00AE62C0" w:rsidRPr="00EA2236" w:rsidRDefault="00AE62C0" w:rsidP="00AE62C0">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У Стратегії окреслено, що основою реалізації є системний підхід до формування та реалізації державної політики, який передбачає участь широкого кола заінтересованих сторін. Зокрема, у переліку умов реалізації прямо згадано </w:t>
      </w:r>
      <w:r w:rsidRPr="00EA2236">
        <w:rPr>
          <w:rFonts w:ascii="Times New Roman" w:hAnsi="Times New Roman" w:cs="Times New Roman"/>
          <w:i/>
          <w:sz w:val="20"/>
          <w:szCs w:val="20"/>
          <w:lang w:eastAsia="uk-UA"/>
        </w:rPr>
        <w:t>«максимальне залучення всіх можливих ресурсів» і «забезпечення функціонування системи публічного моніторингу реалізації цієї Стратегії»</w:t>
      </w:r>
      <w:r w:rsidRPr="00EA2236">
        <w:rPr>
          <w:rFonts w:ascii="Times New Roman" w:hAnsi="Times New Roman" w:cs="Times New Roman"/>
          <w:sz w:val="20"/>
          <w:szCs w:val="20"/>
          <w:lang w:eastAsia="uk-UA"/>
        </w:rPr>
        <w:t xml:space="preserve">. </w:t>
      </w:r>
    </w:p>
    <w:p w14:paraId="71022DF9" w14:textId="77777777" w:rsidR="00AE62C0" w:rsidRPr="00EA2236" w:rsidRDefault="00AE62C0" w:rsidP="00AE62C0">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Це важливо, оскільки концептуально визнає участь не лише державних структур, але й суб’єктів громадянського суспільства, наукових інституцій та аграрних громадських спільнот у здійсненні моніторингу, оцінювання та коригування виконання стратегічних завдань.</w:t>
      </w:r>
    </w:p>
    <w:p w14:paraId="4BA9960D" w14:textId="77777777" w:rsidR="00FA271E" w:rsidRDefault="00FA271E" w:rsidP="00FA271E">
      <w:pPr>
        <w:pStyle w:val="a3"/>
        <w:ind w:firstLine="567"/>
        <w:jc w:val="both"/>
        <w:rPr>
          <w:rFonts w:ascii="Aptos" w:hAnsi="Aptos"/>
          <w:sz w:val="20"/>
          <w:szCs w:val="20"/>
        </w:rPr>
      </w:pPr>
    </w:p>
    <w:p w14:paraId="43EE5D72" w14:textId="77777777" w:rsidR="00745247" w:rsidRPr="00FA271E" w:rsidRDefault="00745247" w:rsidP="00FA271E">
      <w:pPr>
        <w:pStyle w:val="a3"/>
        <w:ind w:firstLine="567"/>
        <w:jc w:val="both"/>
        <w:rPr>
          <w:rFonts w:ascii="Times New Roman" w:hAnsi="Times New Roman" w:cs="Times New Roman"/>
          <w:b/>
          <w:sz w:val="20"/>
          <w:szCs w:val="20"/>
        </w:rPr>
      </w:pPr>
      <w:r w:rsidRPr="00FA271E">
        <w:rPr>
          <w:rFonts w:ascii="Times New Roman" w:hAnsi="Times New Roman" w:cs="Times New Roman"/>
          <w:b/>
          <w:sz w:val="20"/>
          <w:szCs w:val="20"/>
        </w:rPr>
        <w:t xml:space="preserve">Принцип </w:t>
      </w:r>
      <w:proofErr w:type="spellStart"/>
      <w:r w:rsidRPr="00FA271E">
        <w:rPr>
          <w:rFonts w:ascii="Times New Roman" w:hAnsi="Times New Roman" w:cs="Times New Roman"/>
          <w:b/>
          <w:sz w:val="20"/>
          <w:szCs w:val="20"/>
        </w:rPr>
        <w:t>інклюзивності</w:t>
      </w:r>
      <w:proofErr w:type="spellEnd"/>
      <w:r w:rsidRPr="00FA271E">
        <w:rPr>
          <w:rFonts w:ascii="Times New Roman" w:hAnsi="Times New Roman" w:cs="Times New Roman"/>
          <w:b/>
          <w:sz w:val="20"/>
          <w:szCs w:val="20"/>
        </w:rPr>
        <w:t xml:space="preserve"> як основа співпраці</w:t>
      </w:r>
    </w:p>
    <w:p w14:paraId="2A83A765" w14:textId="77777777" w:rsidR="00820EC0" w:rsidRDefault="00820EC0" w:rsidP="00FA271E">
      <w:pPr>
        <w:pStyle w:val="a3"/>
        <w:ind w:firstLine="567"/>
        <w:jc w:val="both"/>
        <w:rPr>
          <w:rFonts w:ascii="Times New Roman" w:hAnsi="Times New Roman" w:cs="Times New Roman"/>
          <w:sz w:val="20"/>
          <w:szCs w:val="20"/>
        </w:rPr>
      </w:pPr>
    </w:p>
    <w:p w14:paraId="17B9A463" w14:textId="77777777" w:rsidR="00745247" w:rsidRPr="00FA271E" w:rsidRDefault="00745247"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У Стратегії одним із ключових орієнтирів визначено формування </w:t>
      </w:r>
      <w:r w:rsidRPr="00FA271E">
        <w:rPr>
          <w:rStyle w:val="a5"/>
          <w:rFonts w:ascii="Times New Roman" w:hAnsi="Times New Roman" w:cs="Times New Roman"/>
          <w:b w:val="0"/>
          <w:i/>
          <w:sz w:val="20"/>
          <w:szCs w:val="20"/>
        </w:rPr>
        <w:t>інклюзивної політики розвитку сільського господарства та сільських територій</w:t>
      </w:r>
      <w:r w:rsidRPr="00FA271E">
        <w:rPr>
          <w:rFonts w:ascii="Times New Roman" w:hAnsi="Times New Roman" w:cs="Times New Roman"/>
          <w:b/>
          <w:i/>
          <w:sz w:val="20"/>
          <w:szCs w:val="20"/>
        </w:rPr>
        <w:t>.</w:t>
      </w:r>
      <w:r w:rsidRPr="00FA271E">
        <w:rPr>
          <w:rFonts w:ascii="Times New Roman" w:hAnsi="Times New Roman" w:cs="Times New Roman"/>
          <w:sz w:val="20"/>
          <w:szCs w:val="20"/>
        </w:rPr>
        <w:t xml:space="preserve"> Йдеться про інституційну спроможність і партнерство між:</w:t>
      </w:r>
    </w:p>
    <w:p w14:paraId="47E42382"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центральними органами виконавчої влади;</w:t>
      </w:r>
    </w:p>
    <w:p w14:paraId="16331F40"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органами місцевого самоврядування;</w:t>
      </w:r>
    </w:p>
    <w:p w14:paraId="424298BE"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професійними асоціаціями;</w:t>
      </w:r>
    </w:p>
    <w:p w14:paraId="0FEA773C"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дорадчими службами;</w:t>
      </w:r>
    </w:p>
    <w:p w14:paraId="30ECF3D7"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організаціями громадянського суспільства (ОГС);</w:t>
      </w:r>
    </w:p>
    <w:p w14:paraId="0D535E0B" w14:textId="77777777" w:rsidR="00745247" w:rsidRPr="00FA271E" w:rsidRDefault="00745247" w:rsidP="00FA271E">
      <w:pPr>
        <w:pStyle w:val="a3"/>
        <w:numPr>
          <w:ilvl w:val="0"/>
          <w:numId w:val="29"/>
        </w:numPr>
        <w:jc w:val="both"/>
        <w:rPr>
          <w:rFonts w:ascii="Times New Roman" w:hAnsi="Times New Roman" w:cs="Times New Roman"/>
          <w:sz w:val="20"/>
          <w:szCs w:val="20"/>
        </w:rPr>
      </w:pPr>
      <w:r w:rsidRPr="00FA271E">
        <w:rPr>
          <w:rFonts w:ascii="Times New Roman" w:hAnsi="Times New Roman" w:cs="Times New Roman"/>
          <w:sz w:val="20"/>
          <w:szCs w:val="20"/>
        </w:rPr>
        <w:t>представниками агробізнесу та фермерства.</w:t>
      </w:r>
    </w:p>
    <w:p w14:paraId="524B84CA" w14:textId="77777777" w:rsidR="00FA271E" w:rsidRDefault="00745247"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Таким чином, </w:t>
      </w:r>
      <w:r w:rsidRPr="00FA271E">
        <w:rPr>
          <w:rFonts w:ascii="Times New Roman" w:hAnsi="Times New Roman" w:cs="Times New Roman"/>
          <w:i/>
          <w:sz w:val="20"/>
          <w:szCs w:val="20"/>
        </w:rPr>
        <w:t>співпраця влади та громадськості закладена не як допоміжний інструмент, а як принцип реалізації політики</w:t>
      </w:r>
      <w:r w:rsidRPr="00FA271E">
        <w:rPr>
          <w:rFonts w:ascii="Times New Roman" w:hAnsi="Times New Roman" w:cs="Times New Roman"/>
          <w:sz w:val="20"/>
          <w:szCs w:val="20"/>
        </w:rPr>
        <w:t>.</w:t>
      </w:r>
    </w:p>
    <w:p w14:paraId="36322D73" w14:textId="77777777" w:rsidR="00FA271E" w:rsidRDefault="00FA271E" w:rsidP="00FA271E">
      <w:pPr>
        <w:pStyle w:val="a3"/>
        <w:ind w:firstLine="567"/>
        <w:jc w:val="both"/>
        <w:rPr>
          <w:rFonts w:ascii="Times New Roman" w:hAnsi="Times New Roman" w:cs="Times New Roman"/>
          <w:sz w:val="20"/>
          <w:szCs w:val="20"/>
        </w:rPr>
      </w:pPr>
    </w:p>
    <w:p w14:paraId="3E06561E" w14:textId="77777777" w:rsidR="00745247" w:rsidRPr="00FA271E" w:rsidRDefault="00745247" w:rsidP="00FA271E">
      <w:pPr>
        <w:pStyle w:val="a3"/>
        <w:ind w:firstLine="567"/>
        <w:rPr>
          <w:rFonts w:ascii="Times New Roman" w:hAnsi="Times New Roman" w:cs="Times New Roman"/>
          <w:b/>
          <w:sz w:val="20"/>
          <w:szCs w:val="20"/>
        </w:rPr>
      </w:pPr>
      <w:r w:rsidRPr="00FA271E">
        <w:rPr>
          <w:rFonts w:ascii="Times New Roman" w:hAnsi="Times New Roman" w:cs="Times New Roman"/>
          <w:b/>
          <w:sz w:val="20"/>
          <w:szCs w:val="20"/>
        </w:rPr>
        <w:t>Організації громадянського суспільства як учасники політичного циклу</w:t>
      </w:r>
    </w:p>
    <w:p w14:paraId="14227F5D" w14:textId="77777777" w:rsidR="00820EC0" w:rsidRDefault="00820EC0" w:rsidP="00FA271E">
      <w:pPr>
        <w:pStyle w:val="a3"/>
        <w:ind w:firstLine="567"/>
        <w:jc w:val="both"/>
        <w:rPr>
          <w:rFonts w:ascii="Times New Roman" w:hAnsi="Times New Roman" w:cs="Times New Roman"/>
          <w:sz w:val="20"/>
          <w:szCs w:val="20"/>
        </w:rPr>
      </w:pPr>
    </w:p>
    <w:p w14:paraId="0A7CCAAF" w14:textId="77777777" w:rsidR="00745247" w:rsidRDefault="00745247"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Роль ОГС у межах Стратегії можна розглядати через весь цикл публічної політики, а саме:</w:t>
      </w:r>
    </w:p>
    <w:p w14:paraId="70786261" w14:textId="77777777" w:rsidR="00820EC0" w:rsidRPr="00FA271E" w:rsidRDefault="00820EC0" w:rsidP="00FA271E">
      <w:pPr>
        <w:pStyle w:val="a3"/>
        <w:ind w:firstLine="567"/>
        <w:jc w:val="both"/>
        <w:rPr>
          <w:rFonts w:ascii="Times New Roman" w:hAnsi="Times New Roman" w:cs="Times New Roman"/>
          <w:sz w:val="20"/>
          <w:szCs w:val="20"/>
        </w:rPr>
      </w:pPr>
    </w:p>
    <w:p w14:paraId="55631607" w14:textId="77777777" w:rsidR="00745247" w:rsidRDefault="00745247" w:rsidP="00FA271E">
      <w:pPr>
        <w:pStyle w:val="a3"/>
        <w:numPr>
          <w:ilvl w:val="0"/>
          <w:numId w:val="30"/>
        </w:numPr>
        <w:ind w:left="0" w:firstLine="567"/>
        <w:jc w:val="both"/>
        <w:rPr>
          <w:rFonts w:ascii="Times New Roman" w:hAnsi="Times New Roman" w:cs="Times New Roman"/>
          <w:sz w:val="20"/>
          <w:szCs w:val="20"/>
        </w:rPr>
      </w:pPr>
      <w:r w:rsidRPr="00FA271E">
        <w:rPr>
          <w:rFonts w:ascii="Times New Roman" w:hAnsi="Times New Roman" w:cs="Times New Roman"/>
          <w:i/>
          <w:sz w:val="20"/>
          <w:szCs w:val="20"/>
        </w:rPr>
        <w:t>Формування політики</w:t>
      </w:r>
      <w:r w:rsidRPr="00FA271E">
        <w:rPr>
          <w:rFonts w:ascii="Times New Roman" w:hAnsi="Times New Roman" w:cs="Times New Roman"/>
          <w:b/>
          <w:sz w:val="20"/>
          <w:szCs w:val="20"/>
        </w:rPr>
        <w:t>.</w:t>
      </w:r>
      <w:r w:rsidRPr="00FA271E">
        <w:rPr>
          <w:rFonts w:ascii="Times New Roman" w:hAnsi="Times New Roman" w:cs="Times New Roman"/>
          <w:sz w:val="20"/>
          <w:szCs w:val="20"/>
        </w:rPr>
        <w:t xml:space="preserve">  Громадські організації, асоціації фермерів, дорадчі структури брали участь у консультаціях під час підготовки Стратегії. Це відповідає європейському принципу участі </w:t>
      </w:r>
      <w:proofErr w:type="spellStart"/>
      <w:r w:rsidRPr="00FA271E">
        <w:rPr>
          <w:rFonts w:ascii="Times New Roman" w:hAnsi="Times New Roman" w:cs="Times New Roman"/>
          <w:sz w:val="20"/>
          <w:szCs w:val="20"/>
        </w:rPr>
        <w:t>стейкхолдерів</w:t>
      </w:r>
      <w:proofErr w:type="spellEnd"/>
      <w:r w:rsidRPr="00FA271E">
        <w:rPr>
          <w:rFonts w:ascii="Times New Roman" w:hAnsi="Times New Roman" w:cs="Times New Roman"/>
          <w:sz w:val="20"/>
          <w:szCs w:val="20"/>
        </w:rPr>
        <w:t xml:space="preserve"> у виробленні рішень.</w:t>
      </w:r>
    </w:p>
    <w:p w14:paraId="5550EEDF" w14:textId="77777777" w:rsidR="00820EC0" w:rsidRPr="00FA271E" w:rsidRDefault="00820EC0" w:rsidP="009071CD">
      <w:pPr>
        <w:pStyle w:val="a3"/>
        <w:ind w:left="567"/>
        <w:jc w:val="both"/>
        <w:rPr>
          <w:rFonts w:ascii="Times New Roman" w:hAnsi="Times New Roman" w:cs="Times New Roman"/>
          <w:sz w:val="20"/>
          <w:szCs w:val="20"/>
        </w:rPr>
      </w:pPr>
    </w:p>
    <w:p w14:paraId="1CE8C32C" w14:textId="77777777" w:rsidR="00745247" w:rsidRPr="00FA271E" w:rsidRDefault="00745247" w:rsidP="00FA271E">
      <w:pPr>
        <w:pStyle w:val="a3"/>
        <w:numPr>
          <w:ilvl w:val="0"/>
          <w:numId w:val="30"/>
        </w:numPr>
        <w:ind w:left="0" w:firstLine="567"/>
        <w:jc w:val="both"/>
        <w:rPr>
          <w:rFonts w:ascii="Times New Roman" w:hAnsi="Times New Roman" w:cs="Times New Roman"/>
          <w:sz w:val="20"/>
          <w:szCs w:val="20"/>
        </w:rPr>
      </w:pPr>
      <w:r w:rsidRPr="00FA271E">
        <w:rPr>
          <w:rFonts w:ascii="Times New Roman" w:hAnsi="Times New Roman" w:cs="Times New Roman"/>
          <w:i/>
          <w:sz w:val="20"/>
          <w:szCs w:val="20"/>
        </w:rPr>
        <w:t>Реалізація заходів</w:t>
      </w:r>
      <w:r w:rsidRPr="00FA271E">
        <w:rPr>
          <w:rFonts w:ascii="Times New Roman" w:hAnsi="Times New Roman" w:cs="Times New Roman"/>
          <w:b/>
          <w:sz w:val="20"/>
          <w:szCs w:val="20"/>
        </w:rPr>
        <w:t>.</w:t>
      </w:r>
      <w:r w:rsidRPr="00FA271E">
        <w:rPr>
          <w:rFonts w:ascii="Times New Roman" w:hAnsi="Times New Roman" w:cs="Times New Roman"/>
          <w:sz w:val="20"/>
          <w:szCs w:val="20"/>
        </w:rPr>
        <w:t xml:space="preserve"> В Операційному плані заходів на 2025–2027 роки передбачено виконання низки завдань із залученням професійних об’єднань, галузевих асоціацій, дорадчих служб та територіальних громад.</w:t>
      </w:r>
      <w:r w:rsidRPr="00FA271E">
        <w:rPr>
          <w:rFonts w:ascii="Times New Roman" w:hAnsi="Times New Roman" w:cs="Times New Roman"/>
          <w:sz w:val="20"/>
          <w:szCs w:val="20"/>
        </w:rPr>
        <w:br/>
        <w:t>ОГС виступають:</w:t>
      </w:r>
    </w:p>
    <w:p w14:paraId="28942084" w14:textId="77777777" w:rsidR="00745247" w:rsidRPr="00FA271E" w:rsidRDefault="00745247" w:rsidP="00FA271E">
      <w:pPr>
        <w:pStyle w:val="a3"/>
        <w:numPr>
          <w:ilvl w:val="0"/>
          <w:numId w:val="31"/>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lastRenderedPageBreak/>
        <w:t>партнерами у впровадженні програм підтримки фермерів;</w:t>
      </w:r>
    </w:p>
    <w:p w14:paraId="55B01DE7" w14:textId="77777777" w:rsidR="00745247" w:rsidRPr="00FA271E" w:rsidRDefault="00745247" w:rsidP="00FA271E">
      <w:pPr>
        <w:pStyle w:val="a3"/>
        <w:numPr>
          <w:ilvl w:val="0"/>
          <w:numId w:val="31"/>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провайдерами навчальних і консультаційних послуг;</w:t>
      </w:r>
    </w:p>
    <w:p w14:paraId="6077F85D" w14:textId="77777777" w:rsidR="00745247" w:rsidRPr="00FA271E" w:rsidRDefault="00745247" w:rsidP="00FA271E">
      <w:pPr>
        <w:pStyle w:val="a3"/>
        <w:numPr>
          <w:ilvl w:val="0"/>
          <w:numId w:val="31"/>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комунікаторами державної політики на місцевому рівні;</w:t>
      </w:r>
    </w:p>
    <w:p w14:paraId="757FF2A1" w14:textId="77777777" w:rsidR="00745247" w:rsidRDefault="00745247" w:rsidP="00FA271E">
      <w:pPr>
        <w:pStyle w:val="a3"/>
        <w:numPr>
          <w:ilvl w:val="0"/>
          <w:numId w:val="31"/>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ініціаторами </w:t>
      </w:r>
      <w:proofErr w:type="spellStart"/>
      <w:r w:rsidRPr="00FA271E">
        <w:rPr>
          <w:rFonts w:ascii="Times New Roman" w:hAnsi="Times New Roman" w:cs="Times New Roman"/>
          <w:sz w:val="20"/>
          <w:szCs w:val="20"/>
        </w:rPr>
        <w:t>проєктів</w:t>
      </w:r>
      <w:proofErr w:type="spellEnd"/>
      <w:r w:rsidRPr="00FA271E">
        <w:rPr>
          <w:rFonts w:ascii="Times New Roman" w:hAnsi="Times New Roman" w:cs="Times New Roman"/>
          <w:sz w:val="20"/>
          <w:szCs w:val="20"/>
        </w:rPr>
        <w:t xml:space="preserve"> розвитку сільських територій.</w:t>
      </w:r>
    </w:p>
    <w:p w14:paraId="488C0B71" w14:textId="77777777" w:rsidR="00820EC0" w:rsidRPr="00FA271E" w:rsidRDefault="00820EC0" w:rsidP="00820EC0">
      <w:pPr>
        <w:pStyle w:val="a3"/>
        <w:ind w:left="567"/>
        <w:jc w:val="both"/>
        <w:rPr>
          <w:rFonts w:ascii="Times New Roman" w:hAnsi="Times New Roman" w:cs="Times New Roman"/>
          <w:sz w:val="20"/>
          <w:szCs w:val="20"/>
        </w:rPr>
      </w:pPr>
    </w:p>
    <w:p w14:paraId="3F9FB8C1" w14:textId="77777777" w:rsidR="00745247" w:rsidRPr="00FA271E" w:rsidRDefault="00745247" w:rsidP="00FA271E">
      <w:pPr>
        <w:pStyle w:val="a3"/>
        <w:numPr>
          <w:ilvl w:val="0"/>
          <w:numId w:val="32"/>
        </w:numPr>
        <w:ind w:left="0" w:firstLine="567"/>
        <w:jc w:val="both"/>
        <w:rPr>
          <w:rFonts w:ascii="Times New Roman" w:hAnsi="Times New Roman" w:cs="Times New Roman"/>
          <w:sz w:val="20"/>
          <w:szCs w:val="20"/>
        </w:rPr>
      </w:pPr>
      <w:r w:rsidRPr="00FA271E">
        <w:rPr>
          <w:rFonts w:ascii="Times New Roman" w:hAnsi="Times New Roman" w:cs="Times New Roman"/>
          <w:i/>
          <w:sz w:val="20"/>
          <w:szCs w:val="20"/>
        </w:rPr>
        <w:t>Моніторинг та оцінювання</w:t>
      </w:r>
      <w:r w:rsidRPr="00FA271E">
        <w:rPr>
          <w:rFonts w:ascii="Times New Roman" w:hAnsi="Times New Roman" w:cs="Times New Roman"/>
          <w:b/>
          <w:sz w:val="20"/>
          <w:szCs w:val="20"/>
        </w:rPr>
        <w:t xml:space="preserve">. </w:t>
      </w:r>
      <w:r w:rsidRPr="00FA271E">
        <w:rPr>
          <w:rFonts w:ascii="Times New Roman" w:hAnsi="Times New Roman" w:cs="Times New Roman"/>
          <w:sz w:val="20"/>
          <w:szCs w:val="20"/>
        </w:rPr>
        <w:t>Стратегія передбачає моніторинг її виконання та оцінювання ефективності заходів. У цьому контексті громадські організації можуть:</w:t>
      </w:r>
    </w:p>
    <w:p w14:paraId="6D7FA19F" w14:textId="77777777" w:rsidR="00745247" w:rsidRPr="00FA271E" w:rsidRDefault="00745247" w:rsidP="00FA271E">
      <w:pPr>
        <w:pStyle w:val="a3"/>
        <w:numPr>
          <w:ilvl w:val="0"/>
          <w:numId w:val="33"/>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здійснювати громадський контроль;</w:t>
      </w:r>
    </w:p>
    <w:p w14:paraId="546844F9" w14:textId="77777777" w:rsidR="00745247" w:rsidRPr="00FA271E" w:rsidRDefault="00745247" w:rsidP="00FA271E">
      <w:pPr>
        <w:pStyle w:val="a3"/>
        <w:numPr>
          <w:ilvl w:val="0"/>
          <w:numId w:val="33"/>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готувати альтернативні аналітичні звіти;</w:t>
      </w:r>
    </w:p>
    <w:p w14:paraId="3F2AFA2B" w14:textId="77777777" w:rsidR="00745247" w:rsidRDefault="00745247" w:rsidP="00FA271E">
      <w:pPr>
        <w:pStyle w:val="a3"/>
        <w:numPr>
          <w:ilvl w:val="0"/>
          <w:numId w:val="33"/>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брати участь у дорадчих і консультаційних органах.</w:t>
      </w:r>
    </w:p>
    <w:p w14:paraId="6ECC2B2B" w14:textId="77777777" w:rsidR="00820EC0" w:rsidRPr="00FA271E" w:rsidRDefault="00820EC0" w:rsidP="00820EC0">
      <w:pPr>
        <w:pStyle w:val="a3"/>
        <w:ind w:left="567"/>
        <w:jc w:val="both"/>
        <w:rPr>
          <w:rFonts w:ascii="Times New Roman" w:hAnsi="Times New Roman" w:cs="Times New Roman"/>
          <w:sz w:val="20"/>
          <w:szCs w:val="20"/>
        </w:rPr>
      </w:pPr>
    </w:p>
    <w:p w14:paraId="29A111E0" w14:textId="20EE12CE" w:rsidR="00745247" w:rsidRPr="00FA271E" w:rsidRDefault="00745247" w:rsidP="00FA271E">
      <w:pPr>
        <w:pStyle w:val="a3"/>
        <w:numPr>
          <w:ilvl w:val="0"/>
          <w:numId w:val="32"/>
        </w:numPr>
        <w:ind w:left="0" w:firstLine="567"/>
        <w:jc w:val="both"/>
        <w:rPr>
          <w:rFonts w:ascii="Times New Roman" w:hAnsi="Times New Roman" w:cs="Times New Roman"/>
          <w:sz w:val="20"/>
          <w:szCs w:val="20"/>
        </w:rPr>
      </w:pPr>
      <w:r w:rsidRPr="00FA271E">
        <w:rPr>
          <w:rFonts w:ascii="Times New Roman" w:hAnsi="Times New Roman" w:cs="Times New Roman"/>
          <w:i/>
          <w:sz w:val="20"/>
          <w:szCs w:val="20"/>
        </w:rPr>
        <w:t>Співпраця з територіальними громадами.</w:t>
      </w:r>
      <w:r w:rsidRPr="00FA271E">
        <w:rPr>
          <w:rFonts w:ascii="Times New Roman" w:hAnsi="Times New Roman" w:cs="Times New Roman"/>
          <w:sz w:val="20"/>
          <w:szCs w:val="20"/>
        </w:rPr>
        <w:t xml:space="preserve"> Окремий вимір співпраці — це взаємодія з органами місцевого самоврядування. Стратегія наголошує на розвитку сільських територій як комплексному процесі, що включає:</w:t>
      </w:r>
    </w:p>
    <w:p w14:paraId="23377E97" w14:textId="77777777" w:rsidR="00745247" w:rsidRPr="00FA271E" w:rsidRDefault="00745247" w:rsidP="00FA271E">
      <w:pPr>
        <w:pStyle w:val="a3"/>
        <w:numPr>
          <w:ilvl w:val="0"/>
          <w:numId w:val="34"/>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розвиток інфраструктури;</w:t>
      </w:r>
    </w:p>
    <w:p w14:paraId="230033E2" w14:textId="77777777" w:rsidR="00745247" w:rsidRPr="00FA271E" w:rsidRDefault="00745247" w:rsidP="00FA271E">
      <w:pPr>
        <w:pStyle w:val="a3"/>
        <w:numPr>
          <w:ilvl w:val="0"/>
          <w:numId w:val="34"/>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підтримку малого та середнього фермерства;</w:t>
      </w:r>
    </w:p>
    <w:p w14:paraId="59D33473" w14:textId="77777777" w:rsidR="00745247" w:rsidRPr="00FA271E" w:rsidRDefault="00745247" w:rsidP="00FA271E">
      <w:pPr>
        <w:pStyle w:val="a3"/>
        <w:numPr>
          <w:ilvl w:val="0"/>
          <w:numId w:val="34"/>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диверсифікацію економіки села;</w:t>
      </w:r>
    </w:p>
    <w:p w14:paraId="16900755" w14:textId="77777777" w:rsidR="00745247" w:rsidRDefault="00745247" w:rsidP="00FA271E">
      <w:pPr>
        <w:pStyle w:val="a3"/>
        <w:numPr>
          <w:ilvl w:val="0"/>
          <w:numId w:val="34"/>
        </w:numPr>
        <w:ind w:left="0" w:firstLine="567"/>
        <w:jc w:val="both"/>
        <w:rPr>
          <w:rFonts w:ascii="Times New Roman" w:hAnsi="Times New Roman" w:cs="Times New Roman"/>
          <w:sz w:val="20"/>
          <w:szCs w:val="20"/>
        </w:rPr>
      </w:pPr>
      <w:r w:rsidRPr="00FA271E">
        <w:rPr>
          <w:rFonts w:ascii="Times New Roman" w:hAnsi="Times New Roman" w:cs="Times New Roman"/>
          <w:sz w:val="20"/>
          <w:szCs w:val="20"/>
        </w:rPr>
        <w:t>розвиток людського капіталу.</w:t>
      </w:r>
    </w:p>
    <w:p w14:paraId="2E75FC68" w14:textId="77777777" w:rsidR="00820EC0" w:rsidRPr="00FA271E" w:rsidRDefault="00820EC0" w:rsidP="00820EC0">
      <w:pPr>
        <w:pStyle w:val="a3"/>
        <w:ind w:left="567"/>
        <w:jc w:val="both"/>
        <w:rPr>
          <w:rFonts w:ascii="Times New Roman" w:hAnsi="Times New Roman" w:cs="Times New Roman"/>
          <w:sz w:val="20"/>
          <w:szCs w:val="20"/>
        </w:rPr>
      </w:pPr>
    </w:p>
    <w:p w14:paraId="7F60E1EB" w14:textId="77777777" w:rsidR="00745247" w:rsidRPr="00FA271E" w:rsidRDefault="00745247" w:rsidP="00FA271E">
      <w:pPr>
        <w:pStyle w:val="a3"/>
        <w:ind w:firstLine="567"/>
        <w:jc w:val="both"/>
        <w:rPr>
          <w:rFonts w:ascii="Times New Roman" w:hAnsi="Times New Roman" w:cs="Times New Roman"/>
          <w:sz w:val="20"/>
          <w:szCs w:val="20"/>
        </w:rPr>
      </w:pPr>
      <w:r w:rsidRPr="00FA271E">
        <w:rPr>
          <w:rFonts w:ascii="Times New Roman" w:hAnsi="Times New Roman" w:cs="Times New Roman"/>
          <w:sz w:val="20"/>
          <w:szCs w:val="20"/>
        </w:rPr>
        <w:t xml:space="preserve">Усі ці завдання неможливо реалізувати без активної участі громад та їхніх інституцій. Саме </w:t>
      </w:r>
      <w:r w:rsidRPr="00FA271E">
        <w:rPr>
          <w:rFonts w:ascii="Times New Roman" w:hAnsi="Times New Roman" w:cs="Times New Roman"/>
          <w:i/>
          <w:sz w:val="20"/>
          <w:szCs w:val="20"/>
        </w:rPr>
        <w:t xml:space="preserve">громади є основними носіями локального розвитку, а ОГС — каталізаторами ініціатив і партнерських </w:t>
      </w:r>
      <w:proofErr w:type="spellStart"/>
      <w:r w:rsidRPr="00FA271E">
        <w:rPr>
          <w:rFonts w:ascii="Times New Roman" w:hAnsi="Times New Roman" w:cs="Times New Roman"/>
          <w:i/>
          <w:sz w:val="20"/>
          <w:szCs w:val="20"/>
        </w:rPr>
        <w:t>проєктів</w:t>
      </w:r>
      <w:proofErr w:type="spellEnd"/>
      <w:r w:rsidRPr="00FA271E">
        <w:rPr>
          <w:rFonts w:ascii="Times New Roman" w:hAnsi="Times New Roman" w:cs="Times New Roman"/>
          <w:sz w:val="20"/>
          <w:szCs w:val="20"/>
        </w:rPr>
        <w:t>.</w:t>
      </w:r>
      <w:r w:rsidR="00FA271E">
        <w:rPr>
          <w:rFonts w:ascii="Times New Roman" w:hAnsi="Times New Roman" w:cs="Times New Roman"/>
          <w:sz w:val="20"/>
          <w:szCs w:val="20"/>
        </w:rPr>
        <w:t xml:space="preserve"> </w:t>
      </w:r>
      <w:r w:rsidR="00EA2236">
        <w:rPr>
          <w:rFonts w:ascii="Times New Roman" w:hAnsi="Times New Roman" w:cs="Times New Roman"/>
          <w:sz w:val="20"/>
          <w:szCs w:val="20"/>
        </w:rPr>
        <w:t xml:space="preserve">Як ілюстрацію цього положення можна згадати підхід/принципи/програму </w:t>
      </w:r>
      <w:r w:rsidR="00EA2236">
        <w:rPr>
          <w:rFonts w:ascii="Times New Roman" w:hAnsi="Times New Roman" w:cs="Times New Roman"/>
          <w:sz w:val="20"/>
          <w:szCs w:val="20"/>
          <w:lang w:val="en-US"/>
        </w:rPr>
        <w:t>LEADER</w:t>
      </w:r>
      <w:r w:rsidR="00EA2236">
        <w:rPr>
          <w:rFonts w:ascii="Times New Roman" w:hAnsi="Times New Roman" w:cs="Times New Roman"/>
          <w:sz w:val="20"/>
          <w:szCs w:val="20"/>
        </w:rPr>
        <w:t xml:space="preserve">, що є </w:t>
      </w:r>
      <w:proofErr w:type="spellStart"/>
      <w:r w:rsidR="00EA2236">
        <w:rPr>
          <w:rFonts w:ascii="Times New Roman" w:hAnsi="Times New Roman" w:cs="Times New Roman"/>
          <w:sz w:val="20"/>
          <w:szCs w:val="20"/>
        </w:rPr>
        <w:t>наскізним</w:t>
      </w:r>
      <w:proofErr w:type="spellEnd"/>
      <w:r w:rsidR="00EA2236">
        <w:rPr>
          <w:rFonts w:ascii="Times New Roman" w:hAnsi="Times New Roman" w:cs="Times New Roman"/>
          <w:sz w:val="20"/>
          <w:szCs w:val="20"/>
        </w:rPr>
        <w:t xml:space="preserve"> інструментом САП ЄС</w:t>
      </w:r>
    </w:p>
    <w:p w14:paraId="42C7E0CB" w14:textId="77777777" w:rsidR="00745247" w:rsidRPr="007C4078" w:rsidRDefault="007C4078" w:rsidP="00EA2236">
      <w:pPr>
        <w:spacing w:before="100" w:beforeAutospacing="1" w:after="100" w:afterAutospacing="1" w:line="240" w:lineRule="auto"/>
        <w:ind w:firstLine="567"/>
        <w:jc w:val="both"/>
        <w:rPr>
          <w:rFonts w:ascii="Times New Roman" w:eastAsia="Times New Roman" w:hAnsi="Times New Roman" w:cs="Times New Roman"/>
          <w:b/>
          <w:sz w:val="20"/>
          <w:szCs w:val="20"/>
          <w:lang w:eastAsia="uk-UA"/>
        </w:rPr>
      </w:pPr>
      <w:r w:rsidRPr="007C4078">
        <w:rPr>
          <w:rFonts w:ascii="Times New Roman" w:eastAsia="Times New Roman" w:hAnsi="Times New Roman" w:cs="Times New Roman"/>
          <w:b/>
          <w:sz w:val="20"/>
          <w:szCs w:val="20"/>
          <w:lang w:eastAsia="uk-UA"/>
        </w:rPr>
        <w:t>КОРОТКИЙ АНАЛІЗ ЗМІСТУ СТРАТЕГІЇ</w:t>
      </w:r>
    </w:p>
    <w:p w14:paraId="09079F4B" w14:textId="77777777" w:rsidR="007C4078" w:rsidRPr="00EA2236" w:rsidRDefault="007C4078" w:rsidP="00EA2236">
      <w:pPr>
        <w:pStyle w:val="a3"/>
        <w:ind w:firstLine="567"/>
        <w:jc w:val="both"/>
        <w:rPr>
          <w:rFonts w:ascii="Times New Roman" w:hAnsi="Times New Roman" w:cs="Times New Roman"/>
          <w:b/>
          <w:sz w:val="20"/>
          <w:szCs w:val="20"/>
          <w:lang w:eastAsia="uk-UA"/>
        </w:rPr>
      </w:pPr>
      <w:r w:rsidRPr="00EA2236">
        <w:rPr>
          <w:rFonts w:ascii="Times New Roman" w:hAnsi="Times New Roman" w:cs="Times New Roman"/>
          <w:b/>
          <w:sz w:val="20"/>
          <w:szCs w:val="20"/>
          <w:lang w:eastAsia="uk-UA"/>
        </w:rPr>
        <w:t>Інституційні засади</w:t>
      </w:r>
    </w:p>
    <w:p w14:paraId="0476C808" w14:textId="77777777" w:rsidR="00820EC0" w:rsidRDefault="00820EC0" w:rsidP="00EA2236">
      <w:pPr>
        <w:pStyle w:val="a3"/>
        <w:ind w:firstLine="567"/>
        <w:jc w:val="both"/>
        <w:rPr>
          <w:rFonts w:ascii="Times New Roman" w:hAnsi="Times New Roman" w:cs="Times New Roman"/>
          <w:sz w:val="20"/>
          <w:szCs w:val="20"/>
          <w:lang w:eastAsia="uk-UA"/>
        </w:rPr>
      </w:pPr>
    </w:p>
    <w:p w14:paraId="5BE48ED5" w14:textId="77777777" w:rsidR="007C4078" w:rsidRPr="00EA2236" w:rsidRDefault="007C4078"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Стратегія визначає довгострокове бачення аграрної політики і розвитку сільських територій як комплексного сектору з економічними, соціальними й екологічними цілями. Стратегія була сформована </w:t>
      </w:r>
      <w:r w:rsidRPr="00EA2236">
        <w:rPr>
          <w:rFonts w:ascii="Times New Roman" w:hAnsi="Times New Roman" w:cs="Times New Roman"/>
          <w:bCs/>
          <w:sz w:val="20"/>
          <w:szCs w:val="20"/>
          <w:lang w:eastAsia="uk-UA"/>
        </w:rPr>
        <w:t>з урахуванням вимог Плану України, затвердженого розпорядженням КМУ № 244 від 18.03.2024 р., та Плану пріоритетних дій Уряду на 2024 рік.</w:t>
      </w:r>
      <w:r w:rsidRPr="00EA2236">
        <w:rPr>
          <w:rFonts w:ascii="Times New Roman" w:hAnsi="Times New Roman" w:cs="Times New Roman"/>
          <w:sz w:val="20"/>
          <w:szCs w:val="20"/>
          <w:lang w:eastAsia="uk-UA"/>
        </w:rPr>
        <w:t xml:space="preserve"> </w:t>
      </w:r>
    </w:p>
    <w:p w14:paraId="6A48567F" w14:textId="77777777" w:rsidR="007C4078" w:rsidRPr="00EA2236" w:rsidRDefault="007C4078"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Центральним положенням документу є теза про те, що </w:t>
      </w:r>
      <w:r w:rsidRPr="00EA2236">
        <w:rPr>
          <w:rFonts w:ascii="Times New Roman" w:hAnsi="Times New Roman" w:cs="Times New Roman"/>
          <w:bCs/>
          <w:sz w:val="20"/>
          <w:szCs w:val="20"/>
          <w:lang w:eastAsia="uk-UA"/>
        </w:rPr>
        <w:t xml:space="preserve">реалізація Стратегії здійснюється шляхом </w:t>
      </w:r>
      <w:r w:rsidRPr="00EA2236">
        <w:rPr>
          <w:rFonts w:ascii="Times New Roman" w:hAnsi="Times New Roman" w:cs="Times New Roman"/>
          <w:bCs/>
          <w:i/>
          <w:sz w:val="20"/>
          <w:szCs w:val="20"/>
          <w:lang w:eastAsia="uk-UA"/>
        </w:rPr>
        <w:t>«скоординованої взаємодії органів державної влади, органів місцевого самоврядування, професійних та громадських об’єднань та інших заінтересованих сторін».</w:t>
      </w:r>
      <w:r w:rsidRPr="00EA2236">
        <w:rPr>
          <w:rFonts w:ascii="Times New Roman" w:hAnsi="Times New Roman" w:cs="Times New Roman"/>
          <w:sz w:val="20"/>
          <w:szCs w:val="20"/>
          <w:lang w:eastAsia="uk-UA"/>
        </w:rPr>
        <w:t xml:space="preserve"> </w:t>
      </w:r>
    </w:p>
    <w:p w14:paraId="742B2D29" w14:textId="77777777" w:rsidR="007C4078" w:rsidRPr="00EA2236" w:rsidRDefault="007C4078"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Це ключова норма, що формально закріплює </w:t>
      </w:r>
      <w:r w:rsidRPr="00EA2236">
        <w:rPr>
          <w:rFonts w:ascii="Times New Roman" w:hAnsi="Times New Roman" w:cs="Times New Roman"/>
          <w:bCs/>
          <w:sz w:val="20"/>
          <w:szCs w:val="20"/>
          <w:lang w:eastAsia="uk-UA"/>
        </w:rPr>
        <w:t>модель співпраці між владою та громадськістю</w:t>
      </w:r>
      <w:r w:rsidRPr="00EA2236">
        <w:rPr>
          <w:rFonts w:ascii="Times New Roman" w:hAnsi="Times New Roman" w:cs="Times New Roman"/>
          <w:sz w:val="20"/>
          <w:szCs w:val="20"/>
          <w:lang w:eastAsia="uk-UA"/>
        </w:rPr>
        <w:t>.</w:t>
      </w:r>
    </w:p>
    <w:p w14:paraId="377074BB" w14:textId="77777777" w:rsidR="00EA2236" w:rsidRDefault="00EA2236" w:rsidP="00EA2236">
      <w:pPr>
        <w:pStyle w:val="a3"/>
        <w:ind w:firstLine="567"/>
        <w:rPr>
          <w:lang w:eastAsia="uk-UA"/>
        </w:rPr>
      </w:pPr>
    </w:p>
    <w:p w14:paraId="6983FB99" w14:textId="77777777" w:rsidR="007C4078" w:rsidRPr="00EA2236" w:rsidRDefault="007C4078" w:rsidP="00EA2236">
      <w:pPr>
        <w:pStyle w:val="a3"/>
        <w:ind w:firstLine="567"/>
        <w:jc w:val="both"/>
        <w:rPr>
          <w:rFonts w:ascii="Times New Roman" w:hAnsi="Times New Roman" w:cs="Times New Roman"/>
          <w:b/>
          <w:sz w:val="20"/>
          <w:szCs w:val="20"/>
          <w:lang w:eastAsia="uk-UA"/>
        </w:rPr>
      </w:pPr>
      <w:r w:rsidRPr="00EA2236">
        <w:rPr>
          <w:rFonts w:ascii="Times New Roman" w:hAnsi="Times New Roman" w:cs="Times New Roman"/>
          <w:b/>
          <w:sz w:val="20"/>
          <w:szCs w:val="20"/>
          <w:lang w:eastAsia="uk-UA"/>
        </w:rPr>
        <w:t>Роль організацій громадянського суспільства (ОГС)</w:t>
      </w:r>
    </w:p>
    <w:p w14:paraId="0757FC1F" w14:textId="77777777" w:rsidR="00820EC0" w:rsidRDefault="00820EC0" w:rsidP="00EA2236">
      <w:pPr>
        <w:pStyle w:val="a3"/>
        <w:ind w:firstLine="567"/>
        <w:jc w:val="both"/>
        <w:rPr>
          <w:rFonts w:ascii="Times New Roman" w:hAnsi="Times New Roman" w:cs="Times New Roman"/>
          <w:i/>
          <w:color w:val="000000" w:themeColor="text1"/>
          <w:sz w:val="20"/>
          <w:szCs w:val="20"/>
          <w:lang w:eastAsia="uk-UA"/>
        </w:rPr>
      </w:pPr>
    </w:p>
    <w:p w14:paraId="556FD514" w14:textId="65C4F972" w:rsidR="007C4078" w:rsidRPr="007D78A5" w:rsidRDefault="007C4078" w:rsidP="00EA2236">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i/>
          <w:color w:val="000000" w:themeColor="text1"/>
          <w:sz w:val="20"/>
          <w:szCs w:val="20"/>
          <w:lang w:eastAsia="uk-UA"/>
        </w:rPr>
        <w:t xml:space="preserve">Стратегічні положення. </w:t>
      </w:r>
      <w:r w:rsidRPr="007D78A5">
        <w:rPr>
          <w:rFonts w:ascii="Times New Roman" w:hAnsi="Times New Roman" w:cs="Times New Roman"/>
          <w:color w:val="000000" w:themeColor="text1"/>
          <w:sz w:val="20"/>
          <w:szCs w:val="20"/>
          <w:lang w:eastAsia="uk-UA"/>
        </w:rPr>
        <w:t xml:space="preserve">У частині, що визначає умови реалізації Стратегії, міститься норма:  </w:t>
      </w:r>
      <w:r w:rsidRPr="007D78A5">
        <w:rPr>
          <w:rFonts w:ascii="Times New Roman" w:hAnsi="Times New Roman" w:cs="Times New Roman"/>
          <w:i/>
          <w:color w:val="000000" w:themeColor="text1"/>
          <w:sz w:val="20"/>
          <w:szCs w:val="20"/>
          <w:lang w:eastAsia="uk-UA"/>
        </w:rPr>
        <w:t xml:space="preserve">«Реалізація цієї Стратегії здійснюється шляхом скоординованої взаємодії органів державної влади, органів місцевого самоврядування, професійних та громадських об’єднань та інших заінтересованих сторін». </w:t>
      </w:r>
      <w:r w:rsidRPr="007D78A5">
        <w:rPr>
          <w:rFonts w:ascii="Times New Roman" w:hAnsi="Times New Roman" w:cs="Times New Roman"/>
          <w:color w:val="000000" w:themeColor="text1"/>
          <w:sz w:val="20"/>
          <w:szCs w:val="20"/>
          <w:lang w:eastAsia="uk-UA"/>
        </w:rPr>
        <w:t xml:space="preserve">Це формулювання означає, що участь ОГС є не </w:t>
      </w:r>
      <w:proofErr w:type="spellStart"/>
      <w:r w:rsidRPr="007D78A5">
        <w:rPr>
          <w:rFonts w:ascii="Times New Roman" w:hAnsi="Times New Roman" w:cs="Times New Roman"/>
          <w:color w:val="000000" w:themeColor="text1"/>
          <w:sz w:val="20"/>
          <w:szCs w:val="20"/>
          <w:lang w:eastAsia="uk-UA"/>
        </w:rPr>
        <w:t>опціональною</w:t>
      </w:r>
      <w:proofErr w:type="spellEnd"/>
      <w:r w:rsidRPr="007D78A5">
        <w:rPr>
          <w:rFonts w:ascii="Times New Roman" w:hAnsi="Times New Roman" w:cs="Times New Roman"/>
          <w:color w:val="000000" w:themeColor="text1"/>
          <w:sz w:val="20"/>
          <w:szCs w:val="20"/>
          <w:lang w:eastAsia="uk-UA"/>
        </w:rPr>
        <w:t>, а частиною механізму реалізації політики.</w:t>
      </w:r>
    </w:p>
    <w:p w14:paraId="3E4E335D" w14:textId="50A26C0C" w:rsidR="007C4078" w:rsidRPr="007D78A5" w:rsidRDefault="007C4078" w:rsidP="00EA2236">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i/>
          <w:color w:val="000000" w:themeColor="text1"/>
          <w:sz w:val="20"/>
          <w:szCs w:val="20"/>
          <w:lang w:eastAsia="uk-UA"/>
        </w:rPr>
        <w:t>Операційний план на 2025–2027 роки.</w:t>
      </w:r>
      <w:r w:rsidRPr="007D78A5">
        <w:rPr>
          <w:rFonts w:ascii="Times New Roman" w:hAnsi="Times New Roman" w:cs="Times New Roman"/>
          <w:color w:val="000000" w:themeColor="text1"/>
          <w:sz w:val="20"/>
          <w:szCs w:val="20"/>
          <w:lang w:eastAsia="uk-UA"/>
        </w:rPr>
        <w:t xml:space="preserve"> Операційний план (що є частиною того ж розпорядження № 1163-р) містить конкретні заходи, серед яких:</w:t>
      </w:r>
    </w:p>
    <w:p w14:paraId="59153B1E" w14:textId="77777777" w:rsidR="007C4078" w:rsidRPr="007D78A5" w:rsidRDefault="007C4078" w:rsidP="001B5CC4">
      <w:pPr>
        <w:pStyle w:val="a3"/>
        <w:numPr>
          <w:ilvl w:val="0"/>
          <w:numId w:val="44"/>
        </w:numPr>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створення інструментів моніторингу та оцінювання впливу політики;</w:t>
      </w:r>
    </w:p>
    <w:p w14:paraId="1E89E0EA" w14:textId="77777777" w:rsidR="007C4078" w:rsidRPr="007D78A5" w:rsidRDefault="007C4078" w:rsidP="001B5CC4">
      <w:pPr>
        <w:pStyle w:val="a3"/>
        <w:numPr>
          <w:ilvl w:val="0"/>
          <w:numId w:val="44"/>
        </w:numPr>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розбудова системи публічного моніторингу реалізації Стратегії;</w:t>
      </w:r>
    </w:p>
    <w:p w14:paraId="2A8643E1" w14:textId="77777777" w:rsidR="007C4078" w:rsidRPr="007D78A5" w:rsidRDefault="007C4078" w:rsidP="001B5CC4">
      <w:pPr>
        <w:pStyle w:val="a3"/>
        <w:numPr>
          <w:ilvl w:val="0"/>
          <w:numId w:val="44"/>
        </w:numPr>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 xml:space="preserve">взаємодія із заінтересованими сторонами для виконання заходів Плану. </w:t>
      </w:r>
    </w:p>
    <w:p w14:paraId="7BE6E487" w14:textId="77777777" w:rsidR="007C4078" w:rsidRPr="007D78A5" w:rsidRDefault="007C4078" w:rsidP="00EA2236">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Хоча сам текст Плану не виділяє окремий розділ «громадськість», його заходи щодо впровадження моніторингових механізмів та інформаційної взаємодії (через системи даних, звітності тощо) прямо відкривають простір для ролі ОГС як громадських моніторів, консультантів і партнерів публічного діалогу.</w:t>
      </w:r>
    </w:p>
    <w:p w14:paraId="63DA0E6B" w14:textId="77777777" w:rsidR="00EA2236" w:rsidRDefault="00EA2236" w:rsidP="00EA2236">
      <w:pPr>
        <w:pStyle w:val="a3"/>
        <w:jc w:val="both"/>
        <w:rPr>
          <w:sz w:val="20"/>
          <w:szCs w:val="20"/>
          <w:lang w:eastAsia="uk-UA"/>
        </w:rPr>
      </w:pPr>
    </w:p>
    <w:p w14:paraId="3F6816FB" w14:textId="77777777" w:rsidR="007C4078" w:rsidRPr="00EA2236" w:rsidRDefault="007C4078" w:rsidP="00EA2236">
      <w:pPr>
        <w:pStyle w:val="a3"/>
        <w:ind w:firstLine="567"/>
        <w:jc w:val="both"/>
        <w:rPr>
          <w:rFonts w:ascii="Times New Roman" w:hAnsi="Times New Roman" w:cs="Times New Roman"/>
          <w:b/>
          <w:sz w:val="20"/>
          <w:szCs w:val="20"/>
          <w:lang w:eastAsia="uk-UA"/>
        </w:rPr>
      </w:pPr>
      <w:r w:rsidRPr="00EA2236">
        <w:rPr>
          <w:rFonts w:ascii="Times New Roman" w:hAnsi="Times New Roman" w:cs="Times New Roman"/>
          <w:b/>
          <w:sz w:val="20"/>
          <w:szCs w:val="20"/>
          <w:lang w:eastAsia="uk-UA"/>
        </w:rPr>
        <w:t>Оцінювання ролі ОГС у контексті європейських норм</w:t>
      </w:r>
    </w:p>
    <w:p w14:paraId="17467B8B" w14:textId="77777777" w:rsidR="00820EC0" w:rsidRDefault="00820EC0" w:rsidP="00EA2236">
      <w:pPr>
        <w:pStyle w:val="a3"/>
        <w:ind w:firstLine="567"/>
        <w:jc w:val="both"/>
        <w:rPr>
          <w:rFonts w:ascii="Times New Roman" w:hAnsi="Times New Roman" w:cs="Times New Roman"/>
          <w:sz w:val="20"/>
          <w:szCs w:val="20"/>
          <w:lang w:eastAsia="uk-UA"/>
        </w:rPr>
      </w:pPr>
    </w:p>
    <w:p w14:paraId="05FE4D9B" w14:textId="77777777" w:rsidR="007C4078" w:rsidRPr="00EA2236" w:rsidRDefault="007C4078"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Стратегія зазначає, що її реалізація має відбуватися з урахуванням підходів Європейського Союзу та нових стандартів спільної аграрної політики ЄС, що традиційно передбачають багаторівневе врядування, де громадські інституції мають право доступу до інформації, участі у консультаціях і формуванні рекомендацій. </w:t>
      </w:r>
    </w:p>
    <w:p w14:paraId="07F3D914" w14:textId="77777777" w:rsidR="007C4078" w:rsidRPr="00EA2236" w:rsidRDefault="007C4078"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 xml:space="preserve">Такий підхід узгоджується з пріоритетами ЄС щодо розширеної участі заінтересованих сторін у формуванні та оцінці політик, що також фігурує у публічних презентаціях цього документу. </w:t>
      </w:r>
    </w:p>
    <w:p w14:paraId="30DB765C" w14:textId="77777777" w:rsidR="00EA2236" w:rsidRDefault="00EA2236" w:rsidP="00EA2236">
      <w:pPr>
        <w:pStyle w:val="a3"/>
        <w:rPr>
          <w:rFonts w:ascii="Times New Roman" w:hAnsi="Times New Roman" w:cs="Times New Roman"/>
          <w:sz w:val="20"/>
          <w:szCs w:val="20"/>
          <w:lang w:eastAsia="uk-UA"/>
        </w:rPr>
      </w:pPr>
    </w:p>
    <w:p w14:paraId="6E5873B2" w14:textId="77777777" w:rsidR="005B5B15" w:rsidRPr="00EA2236" w:rsidRDefault="005B5B15" w:rsidP="00EA2236">
      <w:pPr>
        <w:pStyle w:val="a3"/>
        <w:ind w:firstLine="567"/>
        <w:jc w:val="both"/>
        <w:rPr>
          <w:rFonts w:ascii="Times New Roman" w:hAnsi="Times New Roman" w:cs="Times New Roman"/>
          <w:b/>
          <w:sz w:val="20"/>
          <w:szCs w:val="20"/>
          <w:lang w:eastAsia="uk-UA"/>
        </w:rPr>
      </w:pPr>
      <w:r w:rsidRPr="00EA2236">
        <w:rPr>
          <w:rFonts w:ascii="Times New Roman" w:hAnsi="Times New Roman" w:cs="Times New Roman"/>
          <w:b/>
          <w:sz w:val="20"/>
          <w:szCs w:val="20"/>
          <w:lang w:eastAsia="uk-UA"/>
        </w:rPr>
        <w:t xml:space="preserve">Функції </w:t>
      </w:r>
      <w:r w:rsidR="00CA5496">
        <w:rPr>
          <w:rFonts w:ascii="Times New Roman" w:hAnsi="Times New Roman" w:cs="Times New Roman"/>
          <w:b/>
          <w:sz w:val="20"/>
          <w:szCs w:val="20"/>
          <w:lang w:eastAsia="uk-UA"/>
        </w:rPr>
        <w:t>ОГС</w:t>
      </w:r>
      <w:r w:rsidRPr="00EA2236">
        <w:rPr>
          <w:rFonts w:ascii="Times New Roman" w:hAnsi="Times New Roman" w:cs="Times New Roman"/>
          <w:b/>
          <w:sz w:val="20"/>
          <w:szCs w:val="20"/>
          <w:lang w:eastAsia="uk-UA"/>
        </w:rPr>
        <w:t xml:space="preserve"> у реалізації</w:t>
      </w:r>
      <w:r w:rsidR="00CA5496">
        <w:rPr>
          <w:rFonts w:ascii="Times New Roman" w:hAnsi="Times New Roman" w:cs="Times New Roman"/>
          <w:b/>
          <w:sz w:val="20"/>
          <w:szCs w:val="20"/>
          <w:lang w:eastAsia="uk-UA"/>
        </w:rPr>
        <w:t xml:space="preserve"> Стратегії</w:t>
      </w:r>
    </w:p>
    <w:p w14:paraId="525B706B" w14:textId="77777777" w:rsidR="00820EC0" w:rsidRDefault="00820EC0" w:rsidP="00EA2236">
      <w:pPr>
        <w:pStyle w:val="a3"/>
        <w:ind w:firstLine="567"/>
        <w:jc w:val="both"/>
        <w:rPr>
          <w:rFonts w:ascii="Times New Roman" w:hAnsi="Times New Roman" w:cs="Times New Roman"/>
          <w:sz w:val="20"/>
          <w:szCs w:val="20"/>
          <w:lang w:eastAsia="uk-UA"/>
        </w:rPr>
      </w:pPr>
    </w:p>
    <w:p w14:paraId="18F4A359" w14:textId="77777777" w:rsidR="005B5B15" w:rsidRPr="00EA2236" w:rsidRDefault="005B5B15"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На основі аналізу тексту Стратегії та Операційного плану можна виділити такі функції ОГС:</w:t>
      </w:r>
    </w:p>
    <w:p w14:paraId="7C2B4513" w14:textId="77777777" w:rsidR="005B5B15" w:rsidRPr="00EA2236" w:rsidRDefault="005B5B15"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lastRenderedPageBreak/>
        <w:t>Моніторинг і оцінювання. Забезпечення громадського моніторингу реалізації Стратегії через власні звіти, аналітичні дослідження, участь у консультаційних групах.</w:t>
      </w:r>
    </w:p>
    <w:p w14:paraId="2305EF80" w14:textId="683A6732" w:rsidR="005B5B15" w:rsidRPr="00EA2236" w:rsidRDefault="005B5B15"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Експертна підтримка. Залучення ОГС до розроблення окремих механізмів реалізації заходів (наприклад, у сфері підтримки фермерів, екологічних практик, інноваційних рішень тощо).</w:t>
      </w:r>
    </w:p>
    <w:p w14:paraId="35C1D63F" w14:textId="2395D091" w:rsidR="005B5B15" w:rsidRPr="00EA2236" w:rsidRDefault="005B5B15" w:rsidP="00EA2236">
      <w:pPr>
        <w:pStyle w:val="a3"/>
        <w:ind w:firstLine="567"/>
        <w:jc w:val="both"/>
        <w:rPr>
          <w:rFonts w:ascii="Times New Roman" w:hAnsi="Times New Roman" w:cs="Times New Roman"/>
          <w:sz w:val="20"/>
          <w:szCs w:val="20"/>
          <w:lang w:eastAsia="uk-UA"/>
        </w:rPr>
      </w:pPr>
      <w:r w:rsidRPr="00EA2236">
        <w:rPr>
          <w:rFonts w:ascii="Times New Roman" w:hAnsi="Times New Roman" w:cs="Times New Roman"/>
          <w:sz w:val="20"/>
          <w:szCs w:val="20"/>
          <w:lang w:eastAsia="uk-UA"/>
        </w:rPr>
        <w:t>Інформаційна взаємодія. ОГС можуть виступати активними учасниками публічного дискурсу, поширювати результати моніторингу, співпрацювати з владою у сфері комунікації результатів реалізації політики.</w:t>
      </w:r>
    </w:p>
    <w:p w14:paraId="6844F312" w14:textId="77777777" w:rsidR="00EA2236" w:rsidRDefault="00EA2236" w:rsidP="00EA2236">
      <w:pPr>
        <w:pStyle w:val="a3"/>
        <w:jc w:val="both"/>
        <w:rPr>
          <w:rFonts w:ascii="Times New Roman" w:hAnsi="Times New Roman" w:cs="Times New Roman"/>
          <w:b/>
          <w:sz w:val="20"/>
          <w:szCs w:val="20"/>
        </w:rPr>
      </w:pPr>
    </w:p>
    <w:p w14:paraId="382DDE9E" w14:textId="77777777" w:rsidR="00745247" w:rsidRPr="00E74D9D" w:rsidRDefault="00EA2236" w:rsidP="00E74D9D">
      <w:pPr>
        <w:pStyle w:val="a3"/>
        <w:ind w:firstLine="567"/>
        <w:jc w:val="both"/>
        <w:rPr>
          <w:rFonts w:ascii="Times New Roman" w:hAnsi="Times New Roman" w:cs="Times New Roman"/>
          <w:b/>
          <w:sz w:val="20"/>
          <w:szCs w:val="20"/>
        </w:rPr>
      </w:pPr>
      <w:r w:rsidRPr="00E74D9D">
        <w:rPr>
          <w:rFonts w:ascii="Times New Roman" w:hAnsi="Times New Roman" w:cs="Times New Roman"/>
          <w:b/>
          <w:sz w:val="20"/>
          <w:szCs w:val="20"/>
        </w:rPr>
        <w:t xml:space="preserve">Деякі положення </w:t>
      </w:r>
      <w:r w:rsidR="00E74D9D">
        <w:rPr>
          <w:rFonts w:ascii="Times New Roman" w:hAnsi="Times New Roman" w:cs="Times New Roman"/>
          <w:b/>
          <w:sz w:val="20"/>
          <w:szCs w:val="20"/>
        </w:rPr>
        <w:t>О</w:t>
      </w:r>
      <w:r w:rsidRPr="00E74D9D">
        <w:rPr>
          <w:rFonts w:ascii="Times New Roman" w:hAnsi="Times New Roman" w:cs="Times New Roman"/>
          <w:b/>
          <w:sz w:val="20"/>
          <w:szCs w:val="20"/>
        </w:rPr>
        <w:t>пераційного плану щодо участі громадськості</w:t>
      </w:r>
    </w:p>
    <w:p w14:paraId="52C22E83" w14:textId="77777777" w:rsidR="00820EC0" w:rsidRDefault="00820EC0" w:rsidP="00E74D9D">
      <w:pPr>
        <w:pStyle w:val="a3"/>
        <w:ind w:firstLine="567"/>
        <w:jc w:val="both"/>
        <w:rPr>
          <w:rFonts w:ascii="Times New Roman" w:hAnsi="Times New Roman" w:cs="Times New Roman"/>
          <w:sz w:val="20"/>
          <w:szCs w:val="20"/>
        </w:rPr>
      </w:pPr>
    </w:p>
    <w:p w14:paraId="7E7F2CA1" w14:textId="77777777" w:rsidR="005B5B15" w:rsidRPr="00E74D9D" w:rsidRDefault="005B5B15" w:rsidP="00E74D9D">
      <w:pPr>
        <w:pStyle w:val="a3"/>
        <w:ind w:firstLine="567"/>
        <w:jc w:val="both"/>
        <w:rPr>
          <w:rFonts w:ascii="Times New Roman" w:hAnsi="Times New Roman" w:cs="Times New Roman"/>
          <w:sz w:val="20"/>
          <w:szCs w:val="20"/>
        </w:rPr>
      </w:pPr>
      <w:r w:rsidRPr="00E74D9D">
        <w:rPr>
          <w:rFonts w:ascii="Times New Roman" w:hAnsi="Times New Roman" w:cs="Times New Roman"/>
          <w:sz w:val="20"/>
          <w:szCs w:val="20"/>
        </w:rPr>
        <w:t xml:space="preserve">Операційний план, як невід’ємна частина розпорядження № 1163-р, містить заходи, що відкривають можливості для участі громадськості у реалізації Стратегії. Хоча документ не має окремого розділу «Громадськість», текст Плану включений у розпорядження і має обов’язкову силу. </w:t>
      </w:r>
    </w:p>
    <w:p w14:paraId="6FE022E8" w14:textId="77777777" w:rsidR="00820EC0" w:rsidRDefault="00820EC0" w:rsidP="00E74D9D">
      <w:pPr>
        <w:pStyle w:val="a3"/>
        <w:ind w:firstLine="567"/>
        <w:jc w:val="both"/>
        <w:rPr>
          <w:rFonts w:ascii="Times New Roman" w:hAnsi="Times New Roman" w:cs="Times New Roman"/>
          <w:sz w:val="20"/>
          <w:szCs w:val="20"/>
        </w:rPr>
      </w:pPr>
    </w:p>
    <w:p w14:paraId="04A81964" w14:textId="77777777" w:rsidR="005B5B15" w:rsidRDefault="005B5B15" w:rsidP="00E74D9D">
      <w:pPr>
        <w:pStyle w:val="a3"/>
        <w:ind w:firstLine="567"/>
        <w:jc w:val="both"/>
        <w:rPr>
          <w:rFonts w:ascii="Times New Roman" w:hAnsi="Times New Roman" w:cs="Times New Roman"/>
          <w:sz w:val="20"/>
          <w:szCs w:val="20"/>
        </w:rPr>
      </w:pPr>
      <w:r w:rsidRPr="00E74D9D">
        <w:rPr>
          <w:rFonts w:ascii="Times New Roman" w:hAnsi="Times New Roman" w:cs="Times New Roman"/>
          <w:sz w:val="20"/>
          <w:szCs w:val="20"/>
        </w:rPr>
        <w:t>Приклади конкретних норм, які прямо чи опосередковано створюють підґрунтя для участі:</w:t>
      </w:r>
    </w:p>
    <w:p w14:paraId="3FE2D597" w14:textId="77777777" w:rsidR="00820EC0" w:rsidRPr="00E74D9D" w:rsidRDefault="00820EC0" w:rsidP="00E74D9D">
      <w:pPr>
        <w:pStyle w:val="a3"/>
        <w:ind w:firstLine="567"/>
        <w:jc w:val="both"/>
        <w:rPr>
          <w:rFonts w:ascii="Times New Roman" w:hAnsi="Times New Roman" w:cs="Times New Roman"/>
          <w:sz w:val="20"/>
          <w:szCs w:val="20"/>
        </w:rPr>
      </w:pPr>
    </w:p>
    <w:p w14:paraId="7C28C789" w14:textId="77777777" w:rsidR="005B5B15" w:rsidRPr="00E74D9D" w:rsidRDefault="005B5B15" w:rsidP="00E74D9D">
      <w:pPr>
        <w:pStyle w:val="a3"/>
        <w:numPr>
          <w:ilvl w:val="0"/>
          <w:numId w:val="35"/>
        </w:numPr>
        <w:ind w:left="0" w:firstLine="567"/>
        <w:jc w:val="both"/>
        <w:rPr>
          <w:rFonts w:ascii="Times New Roman" w:hAnsi="Times New Roman" w:cs="Times New Roman"/>
          <w:sz w:val="20"/>
          <w:szCs w:val="20"/>
        </w:rPr>
      </w:pPr>
      <w:r w:rsidRPr="00E74D9D">
        <w:rPr>
          <w:rFonts w:ascii="Times New Roman" w:hAnsi="Times New Roman" w:cs="Times New Roman"/>
          <w:i/>
          <w:sz w:val="20"/>
          <w:szCs w:val="20"/>
        </w:rPr>
        <w:t xml:space="preserve">Публічний моніторинг реалізації: </w:t>
      </w:r>
      <w:r w:rsidRPr="00E74D9D">
        <w:rPr>
          <w:rFonts w:ascii="Times New Roman" w:hAnsi="Times New Roman" w:cs="Times New Roman"/>
          <w:sz w:val="20"/>
          <w:szCs w:val="20"/>
        </w:rPr>
        <w:t>«Забезпечення функціонування системи публічного моніторингу реалізації цієї Стратегії». Це формулювання створює підстави для участі ОГС у:</w:t>
      </w:r>
    </w:p>
    <w:p w14:paraId="437BD020" w14:textId="77777777" w:rsidR="005B5B15" w:rsidRPr="00E74D9D" w:rsidRDefault="005B5B15" w:rsidP="00E74D9D">
      <w:pPr>
        <w:pStyle w:val="a3"/>
        <w:numPr>
          <w:ilvl w:val="0"/>
          <w:numId w:val="37"/>
        </w:numPr>
        <w:ind w:left="0" w:firstLine="567"/>
        <w:jc w:val="both"/>
        <w:rPr>
          <w:rFonts w:ascii="Times New Roman" w:hAnsi="Times New Roman" w:cs="Times New Roman"/>
          <w:sz w:val="20"/>
          <w:szCs w:val="20"/>
        </w:rPr>
      </w:pPr>
      <w:r w:rsidRPr="00E74D9D">
        <w:rPr>
          <w:rFonts w:ascii="Times New Roman" w:hAnsi="Times New Roman" w:cs="Times New Roman"/>
          <w:sz w:val="20"/>
          <w:szCs w:val="20"/>
        </w:rPr>
        <w:t>зборі та узагальненні даних про хід реалізації;</w:t>
      </w:r>
    </w:p>
    <w:p w14:paraId="7FEC311D" w14:textId="77777777" w:rsidR="005B5B15" w:rsidRPr="00E74D9D" w:rsidRDefault="005B5B15" w:rsidP="00E74D9D">
      <w:pPr>
        <w:pStyle w:val="a3"/>
        <w:numPr>
          <w:ilvl w:val="0"/>
          <w:numId w:val="37"/>
        </w:numPr>
        <w:ind w:left="0" w:firstLine="567"/>
        <w:jc w:val="both"/>
        <w:rPr>
          <w:rFonts w:ascii="Times New Roman" w:hAnsi="Times New Roman" w:cs="Times New Roman"/>
          <w:sz w:val="20"/>
          <w:szCs w:val="20"/>
        </w:rPr>
      </w:pPr>
      <w:r w:rsidRPr="00E74D9D">
        <w:rPr>
          <w:rFonts w:ascii="Times New Roman" w:hAnsi="Times New Roman" w:cs="Times New Roman"/>
          <w:sz w:val="20"/>
          <w:szCs w:val="20"/>
        </w:rPr>
        <w:t>підготовці зовнішніх аналітичних звітів;</w:t>
      </w:r>
    </w:p>
    <w:p w14:paraId="23252F68" w14:textId="77777777" w:rsidR="00EA2236" w:rsidRDefault="005B5B15" w:rsidP="00E74D9D">
      <w:pPr>
        <w:pStyle w:val="a3"/>
        <w:numPr>
          <w:ilvl w:val="0"/>
          <w:numId w:val="37"/>
        </w:numPr>
        <w:ind w:left="0" w:firstLine="567"/>
        <w:jc w:val="both"/>
        <w:rPr>
          <w:rFonts w:ascii="Times New Roman" w:hAnsi="Times New Roman" w:cs="Times New Roman"/>
          <w:sz w:val="20"/>
          <w:szCs w:val="20"/>
        </w:rPr>
      </w:pPr>
      <w:r w:rsidRPr="00E74D9D">
        <w:rPr>
          <w:rFonts w:ascii="Times New Roman" w:hAnsi="Times New Roman" w:cs="Times New Roman"/>
          <w:sz w:val="20"/>
          <w:szCs w:val="20"/>
        </w:rPr>
        <w:t>участі у відкритих консультаціях про стан виконання заходів.</w:t>
      </w:r>
    </w:p>
    <w:p w14:paraId="649864A6" w14:textId="77777777" w:rsidR="00820EC0" w:rsidRPr="00E74D9D" w:rsidRDefault="00820EC0" w:rsidP="00820EC0">
      <w:pPr>
        <w:pStyle w:val="a3"/>
        <w:ind w:left="567"/>
        <w:jc w:val="both"/>
        <w:rPr>
          <w:rFonts w:ascii="Times New Roman" w:hAnsi="Times New Roman" w:cs="Times New Roman"/>
          <w:sz w:val="20"/>
          <w:szCs w:val="20"/>
        </w:rPr>
      </w:pPr>
    </w:p>
    <w:p w14:paraId="455A132A" w14:textId="77777777" w:rsidR="005B5B15" w:rsidRPr="00E74D9D" w:rsidRDefault="005B5B15" w:rsidP="00E74D9D">
      <w:pPr>
        <w:pStyle w:val="a3"/>
        <w:numPr>
          <w:ilvl w:val="0"/>
          <w:numId w:val="35"/>
        </w:numPr>
        <w:ind w:left="0" w:firstLine="567"/>
        <w:jc w:val="both"/>
        <w:rPr>
          <w:rFonts w:ascii="Times New Roman" w:hAnsi="Times New Roman" w:cs="Times New Roman"/>
          <w:sz w:val="20"/>
          <w:szCs w:val="20"/>
        </w:rPr>
      </w:pPr>
      <w:r w:rsidRPr="00E74D9D">
        <w:rPr>
          <w:rFonts w:ascii="Times New Roman" w:eastAsia="Times New Roman" w:hAnsi="Times New Roman" w:cs="Times New Roman"/>
          <w:bCs/>
          <w:i/>
          <w:sz w:val="20"/>
          <w:szCs w:val="20"/>
          <w:lang w:eastAsia="uk-UA"/>
        </w:rPr>
        <w:t>Взаємодія з іншими заінтересованими сторонами</w:t>
      </w:r>
      <w:r w:rsidR="00154FF8" w:rsidRPr="00E74D9D">
        <w:rPr>
          <w:rFonts w:ascii="Times New Roman" w:eastAsia="Times New Roman" w:hAnsi="Times New Roman" w:cs="Times New Roman"/>
          <w:b/>
          <w:bCs/>
          <w:sz w:val="20"/>
          <w:szCs w:val="20"/>
          <w:lang w:eastAsia="uk-UA"/>
        </w:rPr>
        <w:t xml:space="preserve">. </w:t>
      </w:r>
      <w:r w:rsidRPr="00E74D9D">
        <w:rPr>
          <w:rFonts w:ascii="Times New Roman" w:eastAsia="Times New Roman" w:hAnsi="Times New Roman" w:cs="Times New Roman"/>
          <w:bCs/>
          <w:sz w:val="20"/>
          <w:szCs w:val="20"/>
          <w:lang w:eastAsia="uk-UA"/>
        </w:rPr>
        <w:t>Текст Стратегії і Плану підкреслює взаємодію не лише із владою, але й іншими зацікавленими групами:</w:t>
      </w:r>
      <w:r w:rsidR="00154FF8" w:rsidRPr="00E74D9D">
        <w:rPr>
          <w:rFonts w:ascii="Times New Roman" w:eastAsia="Times New Roman" w:hAnsi="Times New Roman" w:cs="Times New Roman"/>
          <w:bCs/>
          <w:sz w:val="20"/>
          <w:szCs w:val="20"/>
          <w:lang w:eastAsia="uk-UA"/>
        </w:rPr>
        <w:t xml:space="preserve"> </w:t>
      </w:r>
      <w:r w:rsidRPr="00E74D9D">
        <w:rPr>
          <w:rFonts w:ascii="Times New Roman" w:eastAsia="Times New Roman" w:hAnsi="Times New Roman" w:cs="Times New Roman"/>
          <w:bCs/>
          <w:i/>
          <w:sz w:val="20"/>
          <w:szCs w:val="20"/>
          <w:lang w:eastAsia="uk-UA"/>
        </w:rPr>
        <w:t>«…координована взаємодія органів державної влади, органів місцевого самоврядування, професійних та громадських об’єднань…»</w:t>
      </w:r>
      <w:r w:rsidR="00154FF8" w:rsidRPr="00E74D9D">
        <w:rPr>
          <w:rFonts w:ascii="Times New Roman" w:eastAsia="Times New Roman" w:hAnsi="Times New Roman" w:cs="Times New Roman"/>
          <w:bCs/>
          <w:i/>
          <w:sz w:val="20"/>
          <w:szCs w:val="20"/>
          <w:lang w:eastAsia="uk-UA"/>
        </w:rPr>
        <w:t xml:space="preserve">.  </w:t>
      </w:r>
      <w:r w:rsidRPr="00E74D9D">
        <w:rPr>
          <w:rFonts w:ascii="Times New Roman" w:eastAsia="Times New Roman" w:hAnsi="Times New Roman" w:cs="Times New Roman"/>
          <w:bCs/>
          <w:sz w:val="20"/>
          <w:szCs w:val="20"/>
          <w:lang w:eastAsia="uk-UA"/>
        </w:rPr>
        <w:t>Це положення прямо відкриває простір для ОГС як суб’єктів системної політики.</w:t>
      </w:r>
    </w:p>
    <w:p w14:paraId="2B9E0A73" w14:textId="77777777" w:rsidR="00E74D9D" w:rsidRDefault="00E74D9D" w:rsidP="00E74D9D">
      <w:pPr>
        <w:pStyle w:val="a3"/>
        <w:jc w:val="both"/>
        <w:rPr>
          <w:rFonts w:ascii="Times New Roman" w:hAnsi="Times New Roman" w:cs="Times New Roman"/>
          <w:sz w:val="20"/>
          <w:szCs w:val="20"/>
          <w:lang w:eastAsia="uk-UA"/>
        </w:rPr>
      </w:pPr>
    </w:p>
    <w:p w14:paraId="6903AF99" w14:textId="77777777" w:rsidR="00154FF8" w:rsidRPr="00E74D9D" w:rsidRDefault="00154FF8" w:rsidP="00E74D9D">
      <w:pPr>
        <w:pStyle w:val="a3"/>
        <w:ind w:firstLine="567"/>
        <w:jc w:val="both"/>
        <w:rPr>
          <w:rFonts w:ascii="Times New Roman" w:hAnsi="Times New Roman" w:cs="Times New Roman"/>
          <w:b/>
          <w:sz w:val="20"/>
          <w:szCs w:val="20"/>
          <w:lang w:eastAsia="uk-UA"/>
        </w:rPr>
      </w:pPr>
      <w:r w:rsidRPr="00E74D9D">
        <w:rPr>
          <w:rFonts w:ascii="Times New Roman" w:hAnsi="Times New Roman" w:cs="Times New Roman"/>
          <w:b/>
          <w:sz w:val="20"/>
          <w:szCs w:val="20"/>
          <w:lang w:eastAsia="uk-UA"/>
        </w:rPr>
        <w:t>Як ці норми можуть працювати на практиці</w:t>
      </w:r>
    </w:p>
    <w:p w14:paraId="4D7467E8" w14:textId="77777777" w:rsidR="00820EC0" w:rsidRDefault="00820EC0" w:rsidP="00E74D9D">
      <w:pPr>
        <w:pStyle w:val="a3"/>
        <w:ind w:firstLine="567"/>
        <w:jc w:val="both"/>
        <w:rPr>
          <w:rFonts w:ascii="Times New Roman" w:hAnsi="Times New Roman" w:cs="Times New Roman"/>
          <w:i/>
          <w:sz w:val="20"/>
          <w:szCs w:val="20"/>
          <w:lang w:eastAsia="uk-UA"/>
        </w:rPr>
      </w:pPr>
    </w:p>
    <w:p w14:paraId="05C31BA2" w14:textId="77777777" w:rsidR="00154FF8" w:rsidRPr="00E74D9D" w:rsidRDefault="00154FF8" w:rsidP="00E74D9D">
      <w:pPr>
        <w:pStyle w:val="a3"/>
        <w:ind w:firstLine="567"/>
        <w:jc w:val="both"/>
        <w:rPr>
          <w:rFonts w:ascii="Times New Roman" w:hAnsi="Times New Roman" w:cs="Times New Roman"/>
          <w:sz w:val="20"/>
          <w:szCs w:val="20"/>
          <w:lang w:eastAsia="uk-UA"/>
        </w:rPr>
      </w:pPr>
      <w:r w:rsidRPr="00E74D9D">
        <w:rPr>
          <w:rFonts w:ascii="Times New Roman" w:hAnsi="Times New Roman" w:cs="Times New Roman"/>
          <w:i/>
          <w:sz w:val="20"/>
          <w:szCs w:val="20"/>
          <w:lang w:eastAsia="uk-UA"/>
        </w:rPr>
        <w:t>Громадський моніторинг</w:t>
      </w:r>
      <w:r w:rsidR="00E74D9D" w:rsidRPr="00E74D9D">
        <w:rPr>
          <w:rFonts w:ascii="Times New Roman" w:hAnsi="Times New Roman" w:cs="Times New Roman"/>
          <w:i/>
          <w:sz w:val="20"/>
          <w:szCs w:val="20"/>
          <w:lang w:eastAsia="uk-UA"/>
        </w:rPr>
        <w:t>.</w:t>
      </w:r>
      <w:r w:rsidR="00E74D9D" w:rsidRPr="00E74D9D">
        <w:rPr>
          <w:rFonts w:ascii="Times New Roman" w:hAnsi="Times New Roman" w:cs="Times New Roman"/>
          <w:sz w:val="20"/>
          <w:szCs w:val="20"/>
          <w:lang w:eastAsia="uk-UA"/>
        </w:rPr>
        <w:t xml:space="preserve"> </w:t>
      </w:r>
      <w:r w:rsidRPr="00E74D9D">
        <w:rPr>
          <w:rFonts w:ascii="Times New Roman" w:hAnsi="Times New Roman" w:cs="Times New Roman"/>
          <w:sz w:val="20"/>
          <w:szCs w:val="20"/>
          <w:lang w:eastAsia="uk-UA"/>
        </w:rPr>
        <w:t>Норма про публічний моніторинг може реалізовуватись через:</w:t>
      </w:r>
    </w:p>
    <w:p w14:paraId="2907BBFE"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r w:rsidRPr="00E74D9D">
        <w:rPr>
          <w:rFonts w:ascii="Times New Roman" w:hAnsi="Times New Roman" w:cs="Times New Roman"/>
          <w:i/>
          <w:sz w:val="20"/>
          <w:szCs w:val="20"/>
          <w:lang w:eastAsia="uk-UA"/>
        </w:rPr>
        <w:t>громадські електронні платформи моніторингу</w:t>
      </w:r>
      <w:r w:rsidRPr="00E74D9D">
        <w:rPr>
          <w:rFonts w:ascii="Times New Roman" w:hAnsi="Times New Roman" w:cs="Times New Roman"/>
          <w:sz w:val="20"/>
          <w:szCs w:val="20"/>
          <w:lang w:eastAsia="uk-UA"/>
        </w:rPr>
        <w:t>, де дані про виконання заходів Плану доступні публічно;</w:t>
      </w:r>
    </w:p>
    <w:p w14:paraId="28C3C436"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r w:rsidRPr="00E74D9D">
        <w:rPr>
          <w:rFonts w:ascii="Times New Roman" w:hAnsi="Times New Roman" w:cs="Times New Roman"/>
          <w:i/>
          <w:sz w:val="20"/>
          <w:szCs w:val="20"/>
          <w:lang w:eastAsia="uk-UA"/>
        </w:rPr>
        <w:t>відкриті звіти ОГС</w:t>
      </w:r>
      <w:r w:rsidRPr="00E74D9D">
        <w:rPr>
          <w:rFonts w:ascii="Times New Roman" w:hAnsi="Times New Roman" w:cs="Times New Roman"/>
          <w:sz w:val="20"/>
          <w:szCs w:val="20"/>
          <w:lang w:eastAsia="uk-UA"/>
        </w:rPr>
        <w:t xml:space="preserve"> з аналізом досягнення цілей Стратегії (наприклад, щодо продовольчої безпеки чи розвитку інфраструктури);</w:t>
      </w:r>
    </w:p>
    <w:p w14:paraId="794B0349"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r w:rsidRPr="00E74D9D">
        <w:rPr>
          <w:rFonts w:ascii="Times New Roman" w:hAnsi="Times New Roman" w:cs="Times New Roman"/>
          <w:i/>
          <w:sz w:val="20"/>
          <w:szCs w:val="20"/>
          <w:lang w:eastAsia="uk-UA"/>
        </w:rPr>
        <w:t>спільні аудити реалізації заходів</w:t>
      </w:r>
      <w:r w:rsidRPr="00E74D9D">
        <w:rPr>
          <w:rFonts w:ascii="Times New Roman" w:hAnsi="Times New Roman" w:cs="Times New Roman"/>
          <w:sz w:val="20"/>
          <w:szCs w:val="20"/>
          <w:lang w:eastAsia="uk-UA"/>
        </w:rPr>
        <w:t>, за участю громадських експертів, локальних громад та представників міністерств.</w:t>
      </w:r>
    </w:p>
    <w:p w14:paraId="4DCA0626" w14:textId="77777777" w:rsidR="00154FF8" w:rsidRDefault="00154FF8" w:rsidP="00E74D9D">
      <w:pPr>
        <w:pStyle w:val="a3"/>
        <w:ind w:firstLine="567"/>
        <w:jc w:val="both"/>
        <w:rPr>
          <w:rFonts w:ascii="Times New Roman" w:hAnsi="Times New Roman" w:cs="Times New Roman"/>
          <w:sz w:val="20"/>
          <w:szCs w:val="20"/>
          <w:lang w:eastAsia="uk-UA"/>
        </w:rPr>
      </w:pPr>
      <w:r w:rsidRPr="00E74D9D">
        <w:rPr>
          <w:rFonts w:ascii="Times New Roman" w:hAnsi="Times New Roman" w:cs="Times New Roman"/>
          <w:sz w:val="20"/>
          <w:szCs w:val="20"/>
          <w:lang w:eastAsia="uk-UA"/>
        </w:rPr>
        <w:t>Це відповідає нормам прозорого врядування та підзвітності.</w:t>
      </w:r>
    </w:p>
    <w:p w14:paraId="5A5AB8BE" w14:textId="77777777" w:rsidR="00820EC0" w:rsidRPr="00E74D9D" w:rsidRDefault="00820EC0" w:rsidP="00E74D9D">
      <w:pPr>
        <w:pStyle w:val="a3"/>
        <w:ind w:firstLine="567"/>
        <w:jc w:val="both"/>
        <w:rPr>
          <w:rFonts w:ascii="Times New Roman" w:hAnsi="Times New Roman" w:cs="Times New Roman"/>
          <w:sz w:val="20"/>
          <w:szCs w:val="20"/>
          <w:lang w:eastAsia="uk-UA"/>
        </w:rPr>
      </w:pPr>
    </w:p>
    <w:p w14:paraId="656E422A" w14:textId="77777777" w:rsidR="00154FF8" w:rsidRPr="00E74D9D" w:rsidRDefault="00154FF8" w:rsidP="00E74D9D">
      <w:pPr>
        <w:pStyle w:val="a3"/>
        <w:ind w:firstLine="567"/>
        <w:jc w:val="both"/>
        <w:rPr>
          <w:rFonts w:ascii="Times New Roman" w:hAnsi="Times New Roman" w:cs="Times New Roman"/>
          <w:sz w:val="20"/>
          <w:szCs w:val="20"/>
          <w:lang w:eastAsia="uk-UA"/>
        </w:rPr>
      </w:pPr>
      <w:proofErr w:type="spellStart"/>
      <w:r w:rsidRPr="00E74D9D">
        <w:rPr>
          <w:rFonts w:ascii="Times New Roman" w:hAnsi="Times New Roman" w:cs="Times New Roman"/>
          <w:i/>
          <w:sz w:val="20"/>
          <w:szCs w:val="20"/>
          <w:lang w:eastAsia="uk-UA"/>
        </w:rPr>
        <w:t>Форумні</w:t>
      </w:r>
      <w:proofErr w:type="spellEnd"/>
      <w:r w:rsidRPr="00E74D9D">
        <w:rPr>
          <w:rFonts w:ascii="Times New Roman" w:hAnsi="Times New Roman" w:cs="Times New Roman"/>
          <w:i/>
          <w:sz w:val="20"/>
          <w:szCs w:val="20"/>
          <w:lang w:eastAsia="uk-UA"/>
        </w:rPr>
        <w:t xml:space="preserve"> та консультаційні майданчики</w:t>
      </w:r>
      <w:r w:rsidR="00E74D9D" w:rsidRPr="00E74D9D">
        <w:rPr>
          <w:rFonts w:ascii="Times New Roman" w:hAnsi="Times New Roman" w:cs="Times New Roman"/>
          <w:i/>
          <w:sz w:val="20"/>
          <w:szCs w:val="20"/>
          <w:lang w:eastAsia="uk-UA"/>
        </w:rPr>
        <w:t>, платформи.</w:t>
      </w:r>
      <w:r w:rsidR="00E74D9D">
        <w:rPr>
          <w:rFonts w:ascii="Times New Roman" w:hAnsi="Times New Roman" w:cs="Times New Roman"/>
          <w:b/>
          <w:i/>
          <w:sz w:val="20"/>
          <w:szCs w:val="20"/>
          <w:lang w:eastAsia="uk-UA"/>
        </w:rPr>
        <w:t xml:space="preserve"> </w:t>
      </w:r>
      <w:r w:rsidRPr="00E74D9D">
        <w:rPr>
          <w:rFonts w:ascii="Times New Roman" w:hAnsi="Times New Roman" w:cs="Times New Roman"/>
          <w:sz w:val="20"/>
          <w:szCs w:val="20"/>
          <w:lang w:eastAsia="uk-UA"/>
        </w:rPr>
        <w:t>На основі приписів про взаємодію можуть створюватися:</w:t>
      </w:r>
    </w:p>
    <w:p w14:paraId="51ED29BC"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proofErr w:type="spellStart"/>
      <w:r w:rsidRPr="00E74D9D">
        <w:rPr>
          <w:rFonts w:ascii="Times New Roman" w:hAnsi="Times New Roman" w:cs="Times New Roman"/>
          <w:sz w:val="20"/>
          <w:szCs w:val="20"/>
          <w:lang w:eastAsia="uk-UA"/>
        </w:rPr>
        <w:t>міжсекторальні</w:t>
      </w:r>
      <w:proofErr w:type="spellEnd"/>
      <w:r w:rsidRPr="00E74D9D">
        <w:rPr>
          <w:rFonts w:ascii="Times New Roman" w:hAnsi="Times New Roman" w:cs="Times New Roman"/>
          <w:sz w:val="20"/>
          <w:szCs w:val="20"/>
          <w:lang w:eastAsia="uk-UA"/>
        </w:rPr>
        <w:t xml:space="preserve"> консультаційні ради, куди включають представників ОГС;</w:t>
      </w:r>
    </w:p>
    <w:p w14:paraId="12670165"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r w:rsidRPr="00E74D9D">
        <w:rPr>
          <w:rFonts w:ascii="Times New Roman" w:hAnsi="Times New Roman" w:cs="Times New Roman"/>
          <w:sz w:val="20"/>
          <w:szCs w:val="20"/>
          <w:lang w:eastAsia="uk-UA"/>
        </w:rPr>
        <w:t xml:space="preserve">публічні </w:t>
      </w:r>
      <w:proofErr w:type="spellStart"/>
      <w:r w:rsidRPr="00E74D9D">
        <w:rPr>
          <w:rFonts w:ascii="Times New Roman" w:hAnsi="Times New Roman" w:cs="Times New Roman"/>
          <w:sz w:val="20"/>
          <w:szCs w:val="20"/>
          <w:lang w:eastAsia="uk-UA"/>
        </w:rPr>
        <w:t>круглi</w:t>
      </w:r>
      <w:proofErr w:type="spellEnd"/>
      <w:r w:rsidRPr="00E74D9D">
        <w:rPr>
          <w:rFonts w:ascii="Times New Roman" w:hAnsi="Times New Roman" w:cs="Times New Roman"/>
          <w:sz w:val="20"/>
          <w:szCs w:val="20"/>
          <w:lang w:eastAsia="uk-UA"/>
        </w:rPr>
        <w:t xml:space="preserve"> столи, форуми, робочі групи для обговорення впровадження стратегічних заходів;</w:t>
      </w:r>
    </w:p>
    <w:p w14:paraId="14AD28FB" w14:textId="77777777" w:rsidR="00154FF8" w:rsidRPr="00E74D9D" w:rsidRDefault="00154FF8" w:rsidP="00E74D9D">
      <w:pPr>
        <w:pStyle w:val="a3"/>
        <w:numPr>
          <w:ilvl w:val="0"/>
          <w:numId w:val="38"/>
        </w:numPr>
        <w:ind w:left="0" w:firstLine="567"/>
        <w:jc w:val="both"/>
        <w:rPr>
          <w:rFonts w:ascii="Times New Roman" w:hAnsi="Times New Roman" w:cs="Times New Roman"/>
          <w:sz w:val="20"/>
          <w:szCs w:val="20"/>
          <w:lang w:eastAsia="uk-UA"/>
        </w:rPr>
      </w:pPr>
      <w:r w:rsidRPr="00E74D9D">
        <w:rPr>
          <w:rFonts w:ascii="Times New Roman" w:hAnsi="Times New Roman" w:cs="Times New Roman"/>
          <w:sz w:val="20"/>
          <w:szCs w:val="20"/>
          <w:lang w:eastAsia="uk-UA"/>
        </w:rPr>
        <w:t>оприлюднені результати зворотного зв’язку, що впливають на коригування Плану.</w:t>
      </w:r>
    </w:p>
    <w:p w14:paraId="5209DBE1" w14:textId="77777777" w:rsidR="00154FF8" w:rsidRPr="00E74D9D" w:rsidRDefault="00154FF8" w:rsidP="007D78A5">
      <w:pPr>
        <w:pStyle w:val="a3"/>
        <w:ind w:left="567"/>
        <w:jc w:val="both"/>
        <w:rPr>
          <w:rFonts w:ascii="Times New Roman" w:hAnsi="Times New Roman" w:cs="Times New Roman"/>
          <w:sz w:val="20"/>
          <w:szCs w:val="20"/>
          <w:lang w:eastAsia="uk-UA"/>
        </w:rPr>
      </w:pPr>
      <w:r w:rsidRPr="00E74D9D">
        <w:rPr>
          <w:rFonts w:ascii="Times New Roman" w:hAnsi="Times New Roman" w:cs="Times New Roman"/>
          <w:sz w:val="20"/>
          <w:szCs w:val="20"/>
          <w:lang w:eastAsia="uk-UA"/>
        </w:rPr>
        <w:t>Це практичний механізм залучення громадськості на рівні стратегічного планування.</w:t>
      </w:r>
    </w:p>
    <w:p w14:paraId="5F453781" w14:textId="77777777" w:rsidR="00E74D9D" w:rsidRDefault="00E74D9D" w:rsidP="00E74D9D">
      <w:pPr>
        <w:pStyle w:val="a3"/>
        <w:rPr>
          <w:lang w:eastAsia="uk-UA"/>
        </w:rPr>
      </w:pPr>
    </w:p>
    <w:p w14:paraId="7D6F37DC" w14:textId="77777777" w:rsidR="007D78A5" w:rsidRPr="007D78A5" w:rsidRDefault="007D78A5" w:rsidP="007D78A5">
      <w:pPr>
        <w:pStyle w:val="a3"/>
        <w:ind w:firstLine="567"/>
        <w:rPr>
          <w:rFonts w:ascii="Times New Roman" w:hAnsi="Times New Roman" w:cs="Times New Roman"/>
          <w:b/>
          <w:sz w:val="20"/>
          <w:szCs w:val="20"/>
          <w:lang w:eastAsia="uk-UA"/>
        </w:rPr>
      </w:pPr>
      <w:r w:rsidRPr="007D78A5">
        <w:rPr>
          <w:rFonts w:ascii="Times New Roman" w:hAnsi="Times New Roman" w:cs="Times New Roman"/>
          <w:b/>
          <w:sz w:val="20"/>
          <w:szCs w:val="20"/>
          <w:lang w:eastAsia="uk-UA"/>
        </w:rPr>
        <w:t>Можливі проблеми та шляхи їх вирішення</w:t>
      </w:r>
    </w:p>
    <w:p w14:paraId="2EBEF79F" w14:textId="77777777" w:rsidR="00820EC0" w:rsidRDefault="00820EC0" w:rsidP="007D78A5">
      <w:pPr>
        <w:pStyle w:val="a3"/>
        <w:ind w:firstLine="567"/>
        <w:jc w:val="both"/>
        <w:rPr>
          <w:rFonts w:ascii="Times New Roman" w:hAnsi="Times New Roman" w:cs="Times New Roman"/>
          <w:i/>
          <w:sz w:val="20"/>
          <w:szCs w:val="20"/>
          <w:lang w:eastAsia="uk-UA"/>
        </w:rPr>
      </w:pPr>
    </w:p>
    <w:p w14:paraId="6F2E5C9C" w14:textId="456F17A1" w:rsidR="007D78A5" w:rsidRPr="009C7AA3" w:rsidRDefault="007D78A5" w:rsidP="007D78A5">
      <w:pPr>
        <w:pStyle w:val="a3"/>
        <w:ind w:firstLine="567"/>
        <w:jc w:val="both"/>
        <w:rPr>
          <w:rFonts w:ascii="Times New Roman" w:hAnsi="Times New Roman" w:cs="Times New Roman"/>
          <w:sz w:val="20"/>
          <w:szCs w:val="20"/>
          <w:lang w:eastAsia="uk-UA"/>
        </w:rPr>
      </w:pPr>
      <w:r w:rsidRPr="009C7AA3">
        <w:rPr>
          <w:rFonts w:ascii="Times New Roman" w:hAnsi="Times New Roman" w:cs="Times New Roman"/>
          <w:i/>
          <w:sz w:val="20"/>
          <w:szCs w:val="20"/>
          <w:lang w:eastAsia="uk-UA"/>
        </w:rPr>
        <w:t>Відсутність процедур або недеталізовані процедури.</w:t>
      </w:r>
      <w:r w:rsidRPr="009C7AA3">
        <w:rPr>
          <w:rFonts w:ascii="Times New Roman" w:hAnsi="Times New Roman" w:cs="Times New Roman"/>
          <w:sz w:val="20"/>
          <w:szCs w:val="20"/>
          <w:lang w:eastAsia="uk-UA"/>
        </w:rPr>
        <w:t xml:space="preserve"> Операційний план 2025–2027 років формально створює правову рамку для залучення громадськості, однак не деталізує процедур.</w:t>
      </w:r>
    </w:p>
    <w:p w14:paraId="60A3C24F" w14:textId="77777777" w:rsidR="00820EC0" w:rsidRDefault="00820EC0" w:rsidP="007D78A5">
      <w:pPr>
        <w:pStyle w:val="a3"/>
        <w:ind w:firstLine="567"/>
        <w:jc w:val="both"/>
        <w:rPr>
          <w:rFonts w:ascii="Times New Roman" w:hAnsi="Times New Roman" w:cs="Times New Roman"/>
          <w:sz w:val="20"/>
          <w:szCs w:val="20"/>
          <w:lang w:eastAsia="uk-UA"/>
        </w:rPr>
      </w:pPr>
    </w:p>
    <w:p w14:paraId="0562316F" w14:textId="77777777" w:rsidR="007D78A5" w:rsidRPr="009C7AA3" w:rsidRDefault="007D78A5" w:rsidP="007D78A5">
      <w:pPr>
        <w:pStyle w:val="a3"/>
        <w:ind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Найсильнішими точками входу для ОГС є:</w:t>
      </w:r>
    </w:p>
    <w:p w14:paraId="230F35E9" w14:textId="77777777" w:rsidR="007D78A5" w:rsidRPr="009C7AA3" w:rsidRDefault="007D78A5" w:rsidP="007D78A5">
      <w:pPr>
        <w:pStyle w:val="a3"/>
        <w:numPr>
          <w:ilvl w:val="0"/>
          <w:numId w:val="38"/>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публічний моніторинг;</w:t>
      </w:r>
    </w:p>
    <w:p w14:paraId="1993E32B" w14:textId="77777777" w:rsidR="007D78A5" w:rsidRPr="009C7AA3" w:rsidRDefault="007D78A5" w:rsidP="007D78A5">
      <w:pPr>
        <w:pStyle w:val="a3"/>
        <w:numPr>
          <w:ilvl w:val="0"/>
          <w:numId w:val="38"/>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консультації;</w:t>
      </w:r>
    </w:p>
    <w:p w14:paraId="597EB2F3" w14:textId="77777777" w:rsidR="007D78A5" w:rsidRPr="009C7AA3" w:rsidRDefault="007D78A5" w:rsidP="007D78A5">
      <w:pPr>
        <w:pStyle w:val="a3"/>
        <w:numPr>
          <w:ilvl w:val="0"/>
          <w:numId w:val="38"/>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формування індикаторів;</w:t>
      </w:r>
    </w:p>
    <w:p w14:paraId="6CA3F54F" w14:textId="77777777" w:rsidR="007D78A5" w:rsidRPr="009C7AA3" w:rsidRDefault="007D78A5" w:rsidP="007D78A5">
      <w:pPr>
        <w:pStyle w:val="a3"/>
        <w:numPr>
          <w:ilvl w:val="0"/>
          <w:numId w:val="38"/>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аналіз відкритих даних.</w:t>
      </w:r>
    </w:p>
    <w:p w14:paraId="6906BA27" w14:textId="77777777" w:rsidR="007D78A5" w:rsidRPr="009C7AA3" w:rsidRDefault="007D78A5" w:rsidP="007D78A5">
      <w:pPr>
        <w:pStyle w:val="a3"/>
        <w:ind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Ефективність участі залежить від:</w:t>
      </w:r>
    </w:p>
    <w:p w14:paraId="42205E15" w14:textId="77777777" w:rsidR="007D78A5" w:rsidRPr="009C7AA3" w:rsidRDefault="007D78A5" w:rsidP="007D78A5">
      <w:pPr>
        <w:pStyle w:val="a3"/>
        <w:numPr>
          <w:ilvl w:val="0"/>
          <w:numId w:val="39"/>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прозорості даних;</w:t>
      </w:r>
    </w:p>
    <w:p w14:paraId="6EC62564" w14:textId="77777777" w:rsidR="007D78A5" w:rsidRPr="009C7AA3" w:rsidRDefault="007D78A5" w:rsidP="007D78A5">
      <w:pPr>
        <w:pStyle w:val="a3"/>
        <w:numPr>
          <w:ilvl w:val="0"/>
          <w:numId w:val="39"/>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регулярності звітності;</w:t>
      </w:r>
    </w:p>
    <w:p w14:paraId="42955E65" w14:textId="77777777" w:rsidR="007D78A5" w:rsidRPr="009C7AA3" w:rsidRDefault="007D78A5" w:rsidP="007D78A5">
      <w:pPr>
        <w:pStyle w:val="a3"/>
        <w:numPr>
          <w:ilvl w:val="0"/>
          <w:numId w:val="39"/>
        </w:numPr>
        <w:ind w:left="0" w:firstLine="567"/>
        <w:jc w:val="both"/>
        <w:rPr>
          <w:rFonts w:ascii="Times New Roman" w:hAnsi="Times New Roman" w:cs="Times New Roman"/>
          <w:sz w:val="20"/>
          <w:szCs w:val="20"/>
          <w:lang w:eastAsia="uk-UA"/>
        </w:rPr>
      </w:pPr>
      <w:r w:rsidRPr="009C7AA3">
        <w:rPr>
          <w:rFonts w:ascii="Times New Roman" w:hAnsi="Times New Roman" w:cs="Times New Roman"/>
          <w:sz w:val="20"/>
          <w:szCs w:val="20"/>
          <w:lang w:eastAsia="uk-UA"/>
        </w:rPr>
        <w:t>процедур фіксації та врахування пропозицій.</w:t>
      </w:r>
    </w:p>
    <w:p w14:paraId="77532646"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Рішення: створення правових процедурних правил.</w:t>
      </w:r>
    </w:p>
    <w:p w14:paraId="4BF0469D" w14:textId="77777777" w:rsidR="00820EC0" w:rsidRDefault="00820EC0" w:rsidP="007D78A5">
      <w:pPr>
        <w:pStyle w:val="a3"/>
        <w:ind w:firstLine="567"/>
        <w:jc w:val="both"/>
        <w:rPr>
          <w:rFonts w:ascii="Times New Roman" w:hAnsi="Times New Roman" w:cs="Times New Roman"/>
          <w:bCs/>
          <w:i/>
          <w:sz w:val="20"/>
          <w:szCs w:val="20"/>
          <w:lang w:eastAsia="uk-UA"/>
        </w:rPr>
      </w:pPr>
    </w:p>
    <w:p w14:paraId="5BD1C030" w14:textId="77777777" w:rsidR="007D78A5" w:rsidRPr="009C7AA3" w:rsidRDefault="007D78A5" w:rsidP="007D78A5">
      <w:pPr>
        <w:pStyle w:val="a3"/>
        <w:ind w:firstLine="567"/>
        <w:jc w:val="both"/>
        <w:rPr>
          <w:rFonts w:ascii="Times New Roman" w:hAnsi="Times New Roman" w:cs="Times New Roman"/>
          <w:sz w:val="20"/>
          <w:szCs w:val="20"/>
          <w:lang w:eastAsia="uk-UA"/>
        </w:rPr>
      </w:pPr>
      <w:r w:rsidRPr="009C7AA3">
        <w:rPr>
          <w:rFonts w:ascii="Times New Roman" w:hAnsi="Times New Roman" w:cs="Times New Roman"/>
          <w:bCs/>
          <w:i/>
          <w:sz w:val="20"/>
          <w:szCs w:val="20"/>
          <w:lang w:eastAsia="uk-UA"/>
        </w:rPr>
        <w:lastRenderedPageBreak/>
        <w:t>Формальність залучення ОГС.</w:t>
      </w:r>
      <w:r w:rsidRPr="009C7AA3">
        <w:rPr>
          <w:rFonts w:ascii="Times New Roman" w:hAnsi="Times New Roman" w:cs="Times New Roman"/>
          <w:b/>
          <w:bCs/>
          <w:sz w:val="20"/>
          <w:szCs w:val="20"/>
          <w:lang w:eastAsia="uk-UA"/>
        </w:rPr>
        <w:t xml:space="preserve"> </w:t>
      </w:r>
      <w:r w:rsidRPr="009C7AA3">
        <w:rPr>
          <w:rFonts w:ascii="Times New Roman" w:hAnsi="Times New Roman" w:cs="Times New Roman"/>
          <w:sz w:val="20"/>
          <w:szCs w:val="20"/>
          <w:lang w:eastAsia="uk-UA"/>
        </w:rPr>
        <w:t>Часто участь може бути номінальною (наприклад, лише підписання протоколів консультацій), без впливу на рішення.</w:t>
      </w:r>
    </w:p>
    <w:p w14:paraId="18C6D266"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color w:val="000000" w:themeColor="text1"/>
          <w:sz w:val="20"/>
          <w:szCs w:val="20"/>
          <w:lang w:eastAsia="uk-UA"/>
        </w:rPr>
        <w:t>Рішення:</w:t>
      </w:r>
    </w:p>
    <w:p w14:paraId="1E82482E"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Законодавче унормування процедур консультацій (терміни, методи, вимоги до врахування зауважень ОГС).</w:t>
      </w:r>
    </w:p>
    <w:p w14:paraId="0717DE3D"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Створення стандартних процедур фіксації та звітності щодо врахування громадських пропозицій.</w:t>
      </w:r>
    </w:p>
    <w:p w14:paraId="39B56F40" w14:textId="77777777" w:rsidR="00820EC0" w:rsidRDefault="00820EC0" w:rsidP="00820EC0">
      <w:pPr>
        <w:pStyle w:val="a3"/>
        <w:ind w:firstLine="567"/>
        <w:rPr>
          <w:rFonts w:ascii="Times New Roman" w:hAnsi="Times New Roman" w:cs="Times New Roman"/>
          <w:i/>
          <w:sz w:val="20"/>
          <w:szCs w:val="20"/>
          <w:lang w:eastAsia="uk-UA"/>
        </w:rPr>
      </w:pPr>
    </w:p>
    <w:p w14:paraId="0079C0B9" w14:textId="77777777" w:rsidR="00820EC0" w:rsidRDefault="00820EC0" w:rsidP="00820EC0">
      <w:pPr>
        <w:pStyle w:val="a3"/>
        <w:ind w:firstLine="567"/>
        <w:rPr>
          <w:rFonts w:ascii="Times New Roman" w:hAnsi="Times New Roman" w:cs="Times New Roman"/>
          <w:sz w:val="20"/>
          <w:szCs w:val="20"/>
          <w:lang w:eastAsia="uk-UA"/>
        </w:rPr>
      </w:pPr>
      <w:r>
        <w:rPr>
          <w:rFonts w:ascii="Times New Roman" w:hAnsi="Times New Roman" w:cs="Times New Roman"/>
          <w:i/>
          <w:sz w:val="20"/>
          <w:szCs w:val="20"/>
          <w:lang w:eastAsia="uk-UA"/>
        </w:rPr>
        <w:t>Недостатній</w:t>
      </w:r>
      <w:r w:rsidRPr="00820EC0">
        <w:rPr>
          <w:rFonts w:ascii="Times New Roman" w:hAnsi="Times New Roman" w:cs="Times New Roman"/>
          <w:i/>
          <w:sz w:val="20"/>
          <w:szCs w:val="20"/>
          <w:lang w:eastAsia="uk-UA"/>
        </w:rPr>
        <w:t xml:space="preserve"> рівень компетенцій ОГС. </w:t>
      </w:r>
      <w:r>
        <w:rPr>
          <w:rFonts w:ascii="Times New Roman" w:hAnsi="Times New Roman" w:cs="Times New Roman"/>
          <w:sz w:val="20"/>
          <w:szCs w:val="20"/>
          <w:lang w:eastAsia="uk-UA"/>
        </w:rPr>
        <w:t>ОГС не завжди знають, як працюють органи влади.</w:t>
      </w:r>
    </w:p>
    <w:p w14:paraId="59E31DD9" w14:textId="77777777" w:rsidR="00820EC0" w:rsidRDefault="00820EC0" w:rsidP="00820EC0">
      <w:pPr>
        <w:pStyle w:val="a3"/>
        <w:ind w:firstLine="567"/>
        <w:rPr>
          <w:rFonts w:ascii="Times New Roman" w:hAnsi="Times New Roman" w:cs="Times New Roman"/>
          <w:sz w:val="20"/>
          <w:szCs w:val="20"/>
          <w:lang w:eastAsia="uk-UA"/>
        </w:rPr>
      </w:pPr>
      <w:r w:rsidRPr="00820EC0">
        <w:rPr>
          <w:rFonts w:ascii="Times New Roman" w:hAnsi="Times New Roman" w:cs="Times New Roman"/>
          <w:i/>
          <w:sz w:val="20"/>
          <w:szCs w:val="20"/>
          <w:lang w:eastAsia="uk-UA"/>
        </w:rPr>
        <w:t>Рішення:</w:t>
      </w:r>
      <w:r>
        <w:rPr>
          <w:rFonts w:ascii="Times New Roman" w:hAnsi="Times New Roman" w:cs="Times New Roman"/>
          <w:sz w:val="20"/>
          <w:szCs w:val="20"/>
          <w:lang w:eastAsia="uk-UA"/>
        </w:rPr>
        <w:t xml:space="preserve"> </w:t>
      </w:r>
      <w:r w:rsidRPr="00820EC0">
        <w:rPr>
          <w:rFonts w:ascii="Times New Roman" w:hAnsi="Times New Roman" w:cs="Times New Roman"/>
          <w:sz w:val="20"/>
          <w:szCs w:val="20"/>
          <w:lang w:eastAsia="uk-UA"/>
        </w:rPr>
        <w:t>Проведення навчальних програм, семінарів та обміну досвідом</w:t>
      </w:r>
    </w:p>
    <w:p w14:paraId="78FCE0DA" w14:textId="77777777" w:rsidR="00820EC0" w:rsidRDefault="00820EC0" w:rsidP="007D78A5">
      <w:pPr>
        <w:pStyle w:val="a3"/>
        <w:ind w:firstLine="567"/>
        <w:jc w:val="both"/>
        <w:rPr>
          <w:rFonts w:ascii="Times New Roman" w:hAnsi="Times New Roman" w:cs="Times New Roman"/>
          <w:bCs/>
          <w:i/>
          <w:color w:val="000000" w:themeColor="text1"/>
          <w:sz w:val="20"/>
          <w:szCs w:val="20"/>
          <w:lang w:eastAsia="uk-UA"/>
        </w:rPr>
      </w:pPr>
    </w:p>
    <w:p w14:paraId="184AFA64"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i/>
          <w:color w:val="000000" w:themeColor="text1"/>
          <w:sz w:val="20"/>
          <w:szCs w:val="20"/>
          <w:lang w:eastAsia="uk-UA"/>
        </w:rPr>
        <w:t xml:space="preserve">Нерівна спроможність ОГС у регіонах. </w:t>
      </w:r>
      <w:r w:rsidRPr="007D78A5">
        <w:rPr>
          <w:rFonts w:ascii="Times New Roman" w:hAnsi="Times New Roman" w:cs="Times New Roman"/>
          <w:color w:val="000000" w:themeColor="text1"/>
          <w:sz w:val="20"/>
          <w:szCs w:val="20"/>
          <w:lang w:eastAsia="uk-UA"/>
        </w:rPr>
        <w:t>Малі громади або локальні організації можуть не мати ресурсів для участі у моніторингу та консультаціях.</w:t>
      </w:r>
    </w:p>
    <w:p w14:paraId="0F749716"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color w:val="000000" w:themeColor="text1"/>
          <w:sz w:val="20"/>
          <w:szCs w:val="20"/>
          <w:lang w:eastAsia="uk-UA"/>
        </w:rPr>
        <w:t>Рішення:</w:t>
      </w:r>
    </w:p>
    <w:p w14:paraId="06D4E8C8"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Фінансова підтримка підзвітних і незалежних аналітичних центрів;</w:t>
      </w:r>
    </w:p>
    <w:p w14:paraId="30F30691"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Побудова партнерських мереж між місцевими ОГС та національними платформами;</w:t>
      </w:r>
    </w:p>
    <w:p w14:paraId="764FAE35" w14:textId="77777777" w:rsid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Освітні програми щодо моніторингу політик.</w:t>
      </w:r>
    </w:p>
    <w:p w14:paraId="69DB16AC" w14:textId="77777777" w:rsidR="00820EC0" w:rsidRDefault="00820EC0" w:rsidP="00820EC0">
      <w:pPr>
        <w:pStyle w:val="a3"/>
        <w:ind w:firstLine="567"/>
        <w:rPr>
          <w:rFonts w:ascii="Times New Roman" w:hAnsi="Times New Roman" w:cs="Times New Roman"/>
          <w:i/>
          <w:sz w:val="20"/>
          <w:szCs w:val="20"/>
          <w:lang w:eastAsia="uk-UA"/>
        </w:rPr>
      </w:pPr>
    </w:p>
    <w:p w14:paraId="1501A239" w14:textId="77777777" w:rsidR="00820EC0" w:rsidRDefault="00820EC0" w:rsidP="00820EC0">
      <w:pPr>
        <w:pStyle w:val="a3"/>
        <w:ind w:firstLine="567"/>
        <w:rPr>
          <w:rFonts w:ascii="Times New Roman" w:hAnsi="Times New Roman" w:cs="Times New Roman"/>
          <w:sz w:val="20"/>
          <w:szCs w:val="20"/>
          <w:lang w:eastAsia="uk-UA"/>
        </w:rPr>
      </w:pPr>
      <w:r w:rsidRPr="007D78A5">
        <w:rPr>
          <w:rFonts w:ascii="Times New Roman" w:hAnsi="Times New Roman" w:cs="Times New Roman"/>
          <w:i/>
          <w:sz w:val="20"/>
          <w:szCs w:val="20"/>
          <w:lang w:eastAsia="uk-UA"/>
        </w:rPr>
        <w:t>Недостатня мотивація ОГС</w:t>
      </w:r>
      <w:r w:rsidRPr="007D78A5">
        <w:rPr>
          <w:rFonts w:ascii="Times New Roman" w:hAnsi="Times New Roman" w:cs="Times New Roman"/>
          <w:sz w:val="20"/>
          <w:szCs w:val="20"/>
          <w:lang w:eastAsia="uk-UA"/>
        </w:rPr>
        <w:t xml:space="preserve"> брати участь</w:t>
      </w:r>
      <w:r>
        <w:rPr>
          <w:rFonts w:ascii="Times New Roman" w:hAnsi="Times New Roman" w:cs="Times New Roman"/>
          <w:sz w:val="20"/>
          <w:szCs w:val="20"/>
          <w:lang w:eastAsia="uk-UA"/>
        </w:rPr>
        <w:t xml:space="preserve"> у плануванні та реалізації Стратегії.</w:t>
      </w:r>
    </w:p>
    <w:p w14:paraId="7AB92119" w14:textId="77777777" w:rsidR="00820EC0" w:rsidRDefault="00820EC0" w:rsidP="00820EC0">
      <w:pPr>
        <w:pStyle w:val="a3"/>
        <w:ind w:firstLine="567"/>
        <w:rPr>
          <w:rFonts w:ascii="Times New Roman" w:hAnsi="Times New Roman" w:cs="Times New Roman"/>
          <w:sz w:val="20"/>
          <w:szCs w:val="20"/>
          <w:lang w:eastAsia="uk-UA"/>
        </w:rPr>
      </w:pPr>
      <w:r>
        <w:rPr>
          <w:rFonts w:ascii="Times New Roman" w:hAnsi="Times New Roman" w:cs="Times New Roman"/>
          <w:sz w:val="20"/>
          <w:szCs w:val="20"/>
          <w:lang w:eastAsia="uk-UA"/>
        </w:rPr>
        <w:t>Рішення:</w:t>
      </w:r>
    </w:p>
    <w:p w14:paraId="2B37A55C" w14:textId="77777777" w:rsidR="00820EC0" w:rsidRDefault="00820EC0" w:rsidP="00820EC0">
      <w:pPr>
        <w:pStyle w:val="a3"/>
        <w:numPr>
          <w:ilvl w:val="0"/>
          <w:numId w:val="42"/>
        </w:numPr>
        <w:ind w:left="0" w:firstLine="567"/>
        <w:rPr>
          <w:rFonts w:ascii="Times New Roman" w:hAnsi="Times New Roman" w:cs="Times New Roman"/>
          <w:sz w:val="20"/>
          <w:szCs w:val="20"/>
          <w:lang w:eastAsia="uk-UA"/>
        </w:rPr>
      </w:pPr>
      <w:r w:rsidRPr="00820EC0">
        <w:rPr>
          <w:rFonts w:ascii="Times New Roman" w:hAnsi="Times New Roman" w:cs="Times New Roman"/>
          <w:sz w:val="20"/>
          <w:szCs w:val="20"/>
          <w:lang w:eastAsia="uk-UA"/>
        </w:rPr>
        <w:t>Фінансова та експертна підтримка участі</w:t>
      </w:r>
      <w:r>
        <w:rPr>
          <w:rFonts w:ascii="Times New Roman" w:hAnsi="Times New Roman" w:cs="Times New Roman"/>
          <w:sz w:val="20"/>
          <w:szCs w:val="20"/>
          <w:lang w:eastAsia="uk-UA"/>
        </w:rPr>
        <w:t>;</w:t>
      </w:r>
    </w:p>
    <w:p w14:paraId="10CF75D8" w14:textId="77777777" w:rsidR="00820EC0" w:rsidRDefault="00820EC0" w:rsidP="00820EC0">
      <w:pPr>
        <w:pStyle w:val="a3"/>
        <w:numPr>
          <w:ilvl w:val="0"/>
          <w:numId w:val="42"/>
        </w:numPr>
        <w:ind w:left="0" w:firstLine="567"/>
        <w:rPr>
          <w:rFonts w:ascii="Times New Roman" w:hAnsi="Times New Roman" w:cs="Times New Roman"/>
          <w:sz w:val="20"/>
          <w:szCs w:val="20"/>
          <w:lang w:eastAsia="uk-UA"/>
        </w:rPr>
      </w:pPr>
      <w:r>
        <w:rPr>
          <w:rFonts w:ascii="Times New Roman" w:hAnsi="Times New Roman" w:cs="Times New Roman"/>
          <w:sz w:val="20"/>
          <w:szCs w:val="20"/>
          <w:lang w:eastAsia="uk-UA"/>
        </w:rPr>
        <w:t>В</w:t>
      </w:r>
      <w:r w:rsidRPr="00820EC0">
        <w:rPr>
          <w:rFonts w:ascii="Times New Roman" w:hAnsi="Times New Roman" w:cs="Times New Roman"/>
          <w:sz w:val="20"/>
          <w:szCs w:val="20"/>
          <w:lang w:eastAsia="uk-UA"/>
        </w:rPr>
        <w:t>ключення результатів у рейтинги прозорості та ефективності</w:t>
      </w:r>
      <w:r>
        <w:rPr>
          <w:rFonts w:ascii="Times New Roman" w:hAnsi="Times New Roman" w:cs="Times New Roman"/>
          <w:sz w:val="20"/>
          <w:szCs w:val="20"/>
          <w:lang w:eastAsia="uk-UA"/>
        </w:rPr>
        <w:t>.</w:t>
      </w:r>
    </w:p>
    <w:p w14:paraId="01E89486" w14:textId="77777777" w:rsidR="00820EC0" w:rsidRPr="007D78A5" w:rsidRDefault="00820EC0" w:rsidP="00820EC0">
      <w:pPr>
        <w:pStyle w:val="a3"/>
        <w:jc w:val="both"/>
        <w:rPr>
          <w:rFonts w:ascii="Times New Roman" w:hAnsi="Times New Roman" w:cs="Times New Roman"/>
          <w:color w:val="000000" w:themeColor="text1"/>
          <w:sz w:val="20"/>
          <w:szCs w:val="20"/>
          <w:lang w:eastAsia="uk-UA"/>
        </w:rPr>
      </w:pPr>
    </w:p>
    <w:p w14:paraId="52967CDF"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i/>
          <w:color w:val="000000" w:themeColor="text1"/>
          <w:sz w:val="20"/>
          <w:szCs w:val="20"/>
          <w:lang w:eastAsia="uk-UA"/>
        </w:rPr>
        <w:t>Відсутність ефективного зворотного зв’язку.</w:t>
      </w:r>
      <w:r w:rsidRPr="007D78A5">
        <w:rPr>
          <w:rFonts w:ascii="Times New Roman" w:hAnsi="Times New Roman" w:cs="Times New Roman"/>
          <w:b/>
          <w:bCs/>
          <w:color w:val="000000" w:themeColor="text1"/>
          <w:sz w:val="20"/>
          <w:szCs w:val="20"/>
          <w:lang w:eastAsia="uk-UA"/>
        </w:rPr>
        <w:t xml:space="preserve"> </w:t>
      </w:r>
      <w:r w:rsidRPr="007D78A5">
        <w:rPr>
          <w:rFonts w:ascii="Times New Roman" w:hAnsi="Times New Roman" w:cs="Times New Roman"/>
          <w:color w:val="000000" w:themeColor="text1"/>
          <w:sz w:val="20"/>
          <w:szCs w:val="20"/>
          <w:lang w:eastAsia="uk-UA"/>
        </w:rPr>
        <w:t>Громадські пропозиції можуть не впливати на рішення без механізмів зворотного зв’язку.</w:t>
      </w:r>
    </w:p>
    <w:p w14:paraId="72414696" w14:textId="77777777" w:rsidR="007D78A5" w:rsidRPr="007D78A5" w:rsidRDefault="007D78A5" w:rsidP="007D78A5">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color w:val="000000" w:themeColor="text1"/>
          <w:sz w:val="20"/>
          <w:szCs w:val="20"/>
          <w:lang w:eastAsia="uk-UA"/>
        </w:rPr>
        <w:t>Рішення:</w:t>
      </w:r>
    </w:p>
    <w:p w14:paraId="4D3DD596"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 xml:space="preserve">Впровадження </w:t>
      </w:r>
      <w:r w:rsidRPr="007D78A5">
        <w:rPr>
          <w:rFonts w:ascii="Times New Roman" w:hAnsi="Times New Roman" w:cs="Times New Roman"/>
          <w:bCs/>
          <w:color w:val="000000" w:themeColor="text1"/>
          <w:sz w:val="20"/>
          <w:szCs w:val="20"/>
          <w:lang w:eastAsia="uk-UA"/>
        </w:rPr>
        <w:t>відкритих звітів з впливом участі ОГС</w:t>
      </w:r>
      <w:r w:rsidRPr="007D78A5">
        <w:rPr>
          <w:rFonts w:ascii="Times New Roman" w:hAnsi="Times New Roman" w:cs="Times New Roman"/>
          <w:color w:val="000000" w:themeColor="text1"/>
          <w:sz w:val="20"/>
          <w:szCs w:val="20"/>
          <w:lang w:eastAsia="uk-UA"/>
        </w:rPr>
        <w:t>;</w:t>
      </w:r>
    </w:p>
    <w:p w14:paraId="5837C750"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Публічний доступ до відповіді влади щодо внесених зауважень;</w:t>
      </w:r>
    </w:p>
    <w:p w14:paraId="6EE63083" w14:textId="77777777" w:rsidR="007D78A5" w:rsidRPr="007D78A5" w:rsidRDefault="007D78A5" w:rsidP="007D78A5">
      <w:pPr>
        <w:pStyle w:val="a3"/>
        <w:numPr>
          <w:ilvl w:val="0"/>
          <w:numId w:val="40"/>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Інтеграція коментарів ОГС у щорічні державні звіти.</w:t>
      </w:r>
    </w:p>
    <w:p w14:paraId="0FDFF360" w14:textId="77777777" w:rsidR="007D78A5" w:rsidRPr="00C43112" w:rsidRDefault="007D78A5" w:rsidP="007D78A5">
      <w:pPr>
        <w:pStyle w:val="a3"/>
        <w:ind w:firstLine="567"/>
        <w:jc w:val="both"/>
        <w:rPr>
          <w:rFonts w:ascii="Times New Roman" w:hAnsi="Times New Roman" w:cs="Times New Roman"/>
          <w:b/>
          <w:bCs/>
          <w:color w:val="FF0000"/>
          <w:sz w:val="20"/>
          <w:szCs w:val="20"/>
          <w:lang w:eastAsia="uk-UA"/>
        </w:rPr>
      </w:pPr>
    </w:p>
    <w:p w14:paraId="1D885F00" w14:textId="77777777" w:rsidR="007D78A5" w:rsidRPr="009C7AA3" w:rsidRDefault="007D78A5" w:rsidP="00820EC0">
      <w:pPr>
        <w:pStyle w:val="a3"/>
        <w:ind w:firstLine="567"/>
        <w:jc w:val="both"/>
        <w:rPr>
          <w:rFonts w:ascii="Times New Roman" w:hAnsi="Times New Roman" w:cs="Times New Roman"/>
          <w:sz w:val="20"/>
          <w:szCs w:val="20"/>
          <w:lang w:eastAsia="uk-UA"/>
        </w:rPr>
      </w:pPr>
      <w:r w:rsidRPr="00C43112">
        <w:rPr>
          <w:rFonts w:ascii="Times New Roman" w:hAnsi="Times New Roman" w:cs="Times New Roman"/>
          <w:bCs/>
          <w:i/>
          <w:sz w:val="20"/>
          <w:szCs w:val="20"/>
          <w:lang w:eastAsia="uk-UA"/>
        </w:rPr>
        <w:t>Інформаційна асиметрія.</w:t>
      </w:r>
      <w:r w:rsidRPr="009C7AA3">
        <w:rPr>
          <w:rFonts w:ascii="Times New Roman" w:hAnsi="Times New Roman" w:cs="Times New Roman"/>
          <w:sz w:val="20"/>
          <w:szCs w:val="20"/>
          <w:lang w:eastAsia="uk-UA"/>
        </w:rPr>
        <w:t xml:space="preserve"> Недостатній доступ до даних про реалізацію Плану обмежує участь громадськості.</w:t>
      </w:r>
    </w:p>
    <w:p w14:paraId="13B15486" w14:textId="77777777" w:rsidR="007D78A5" w:rsidRPr="007D78A5" w:rsidRDefault="007D78A5" w:rsidP="00820EC0">
      <w:pPr>
        <w:pStyle w:val="a3"/>
        <w:ind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bCs/>
          <w:color w:val="000000" w:themeColor="text1"/>
          <w:sz w:val="20"/>
          <w:szCs w:val="20"/>
          <w:lang w:eastAsia="uk-UA"/>
        </w:rPr>
        <w:t>Рішення:</w:t>
      </w:r>
    </w:p>
    <w:p w14:paraId="15046423" w14:textId="77777777" w:rsidR="007D78A5" w:rsidRPr="007D78A5" w:rsidRDefault="007D78A5" w:rsidP="00820EC0">
      <w:pPr>
        <w:pStyle w:val="a3"/>
        <w:numPr>
          <w:ilvl w:val="0"/>
          <w:numId w:val="41"/>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Обов’язкове оприлюднення всіх звітів про хід реалізації Стратегії на державних порталах;</w:t>
      </w:r>
    </w:p>
    <w:p w14:paraId="648242D1" w14:textId="77777777" w:rsidR="007D78A5" w:rsidRDefault="007D78A5" w:rsidP="00820EC0">
      <w:pPr>
        <w:pStyle w:val="a3"/>
        <w:numPr>
          <w:ilvl w:val="0"/>
          <w:numId w:val="41"/>
        </w:numPr>
        <w:ind w:left="0" w:firstLine="567"/>
        <w:jc w:val="both"/>
        <w:rPr>
          <w:rFonts w:ascii="Times New Roman" w:hAnsi="Times New Roman" w:cs="Times New Roman"/>
          <w:color w:val="000000" w:themeColor="text1"/>
          <w:sz w:val="20"/>
          <w:szCs w:val="20"/>
          <w:lang w:eastAsia="uk-UA"/>
        </w:rPr>
      </w:pPr>
      <w:r w:rsidRPr="007D78A5">
        <w:rPr>
          <w:rFonts w:ascii="Times New Roman" w:hAnsi="Times New Roman" w:cs="Times New Roman"/>
          <w:color w:val="000000" w:themeColor="text1"/>
          <w:sz w:val="20"/>
          <w:szCs w:val="20"/>
          <w:lang w:eastAsia="uk-UA"/>
        </w:rPr>
        <w:t>Використання відкритих даних та візуалізацій для громадського моніторингу.</w:t>
      </w:r>
    </w:p>
    <w:p w14:paraId="744A3D4A" w14:textId="77777777" w:rsidR="007D78A5" w:rsidRDefault="007D78A5" w:rsidP="00820EC0">
      <w:pPr>
        <w:pStyle w:val="a3"/>
        <w:ind w:firstLine="567"/>
        <w:jc w:val="both"/>
        <w:rPr>
          <w:rFonts w:ascii="Times New Roman" w:hAnsi="Times New Roman" w:cs="Times New Roman"/>
          <w:color w:val="000000" w:themeColor="text1"/>
          <w:sz w:val="20"/>
          <w:szCs w:val="20"/>
          <w:lang w:eastAsia="uk-UA"/>
        </w:rPr>
      </w:pPr>
    </w:p>
    <w:p w14:paraId="5F1E3944" w14:textId="77777777" w:rsidR="00820EC0" w:rsidRDefault="00820EC0" w:rsidP="00820EC0">
      <w:pPr>
        <w:pStyle w:val="a3"/>
        <w:ind w:firstLine="567"/>
        <w:rPr>
          <w:rFonts w:ascii="Times New Roman" w:hAnsi="Times New Roman" w:cs="Times New Roman"/>
          <w:i/>
          <w:sz w:val="20"/>
          <w:szCs w:val="20"/>
          <w:lang w:eastAsia="uk-UA"/>
        </w:rPr>
      </w:pPr>
      <w:r w:rsidRPr="00820EC0">
        <w:rPr>
          <w:rFonts w:ascii="Times New Roman" w:hAnsi="Times New Roman" w:cs="Times New Roman"/>
          <w:i/>
          <w:sz w:val="20"/>
          <w:szCs w:val="20"/>
          <w:lang w:eastAsia="uk-UA"/>
        </w:rPr>
        <w:t>Конфлікт інт</w:t>
      </w:r>
      <w:r>
        <w:rPr>
          <w:rFonts w:ascii="Times New Roman" w:hAnsi="Times New Roman" w:cs="Times New Roman"/>
          <w:i/>
          <w:sz w:val="20"/>
          <w:szCs w:val="20"/>
          <w:lang w:eastAsia="uk-UA"/>
        </w:rPr>
        <w:t xml:space="preserve">ересів </w:t>
      </w:r>
      <w:r w:rsidRPr="00820EC0">
        <w:rPr>
          <w:rFonts w:ascii="Times New Roman" w:hAnsi="Times New Roman" w:cs="Times New Roman"/>
          <w:sz w:val="20"/>
          <w:szCs w:val="20"/>
          <w:lang w:eastAsia="uk-UA"/>
        </w:rPr>
        <w:t>між державою та ООГС, державою та громадами</w:t>
      </w:r>
      <w:r>
        <w:rPr>
          <w:rFonts w:ascii="Times New Roman" w:hAnsi="Times New Roman" w:cs="Times New Roman"/>
          <w:i/>
          <w:sz w:val="20"/>
          <w:szCs w:val="20"/>
          <w:lang w:eastAsia="uk-UA"/>
        </w:rPr>
        <w:t>.</w:t>
      </w:r>
    </w:p>
    <w:p w14:paraId="2587C96F" w14:textId="77777777" w:rsidR="00820EC0" w:rsidRDefault="00820EC0" w:rsidP="00820EC0">
      <w:pPr>
        <w:pStyle w:val="a3"/>
        <w:ind w:firstLine="567"/>
        <w:rPr>
          <w:rFonts w:ascii="Times New Roman" w:hAnsi="Times New Roman" w:cs="Times New Roman"/>
          <w:sz w:val="20"/>
          <w:szCs w:val="20"/>
          <w:lang w:eastAsia="uk-UA"/>
        </w:rPr>
      </w:pPr>
      <w:r>
        <w:rPr>
          <w:rFonts w:ascii="Times New Roman" w:hAnsi="Times New Roman" w:cs="Times New Roman"/>
          <w:i/>
          <w:sz w:val="20"/>
          <w:szCs w:val="20"/>
          <w:lang w:eastAsia="uk-UA"/>
        </w:rPr>
        <w:t>Рішення:</w:t>
      </w:r>
      <w:r w:rsidRPr="00820EC0">
        <w:rPr>
          <w:rFonts w:ascii="Times New Roman" w:hAnsi="Times New Roman" w:cs="Times New Roman"/>
          <w:sz w:val="20"/>
          <w:szCs w:val="20"/>
          <w:lang w:eastAsia="uk-UA"/>
        </w:rPr>
        <w:t xml:space="preserve"> </w:t>
      </w:r>
      <w:r w:rsidRPr="007D78A5">
        <w:rPr>
          <w:rFonts w:ascii="Times New Roman" w:hAnsi="Times New Roman" w:cs="Times New Roman"/>
          <w:sz w:val="20"/>
          <w:szCs w:val="20"/>
          <w:lang w:eastAsia="uk-UA"/>
        </w:rPr>
        <w:t>Впровадження процедур громадських консультацій та письмових відгуків на пропозиції</w:t>
      </w:r>
      <w:r>
        <w:rPr>
          <w:rFonts w:ascii="Times New Roman" w:hAnsi="Times New Roman" w:cs="Times New Roman"/>
          <w:sz w:val="20"/>
          <w:szCs w:val="20"/>
          <w:lang w:eastAsia="uk-UA"/>
        </w:rPr>
        <w:t>.</w:t>
      </w:r>
    </w:p>
    <w:p w14:paraId="65477818" w14:textId="77777777" w:rsidR="00820EC0" w:rsidRDefault="00820EC0" w:rsidP="00820EC0">
      <w:pPr>
        <w:pStyle w:val="a3"/>
        <w:ind w:firstLine="567"/>
        <w:rPr>
          <w:rFonts w:ascii="Times New Roman" w:hAnsi="Times New Roman" w:cs="Times New Roman"/>
          <w:sz w:val="20"/>
          <w:szCs w:val="20"/>
          <w:lang w:eastAsia="uk-UA"/>
        </w:rPr>
      </w:pPr>
    </w:p>
    <w:p w14:paraId="01D72995" w14:textId="77777777" w:rsidR="009C7AA3" w:rsidRDefault="009C7AA3" w:rsidP="007D78A5">
      <w:pPr>
        <w:spacing w:before="100" w:beforeAutospacing="1" w:after="100" w:afterAutospacing="1" w:line="240" w:lineRule="auto"/>
        <w:ind w:firstLine="567"/>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КРОКИ ДО ЕФЕКТИВНОСТІ</w:t>
      </w:r>
    </w:p>
    <w:p w14:paraId="3662EC15" w14:textId="77777777" w:rsidR="00FA271E" w:rsidRPr="00FA271E" w:rsidRDefault="009C7AA3" w:rsidP="007D78A5">
      <w:pPr>
        <w:spacing w:before="100" w:beforeAutospacing="1" w:after="100" w:afterAutospacing="1" w:line="240" w:lineRule="auto"/>
        <w:ind w:firstLine="567"/>
        <w:jc w:val="both"/>
        <w:rPr>
          <w:rFonts w:ascii="Times New Roman" w:eastAsia="Times New Roman" w:hAnsi="Times New Roman" w:cs="Times New Roman"/>
          <w:sz w:val="24"/>
          <w:szCs w:val="24"/>
          <w:lang w:eastAsia="uk-UA"/>
        </w:rPr>
      </w:pPr>
      <w:r w:rsidRPr="009C7AA3">
        <w:rPr>
          <w:rFonts w:ascii="Times New Roman" w:eastAsia="Times New Roman" w:hAnsi="Times New Roman" w:cs="Times New Roman"/>
          <w:bCs/>
          <w:sz w:val="20"/>
          <w:szCs w:val="20"/>
          <w:lang w:eastAsia="uk-UA"/>
        </w:rPr>
        <w:t xml:space="preserve">Щоб </w:t>
      </w:r>
      <w:r w:rsidR="00FA271E" w:rsidRPr="009C7AA3">
        <w:rPr>
          <w:rFonts w:ascii="Times New Roman" w:eastAsia="Times New Roman" w:hAnsi="Times New Roman" w:cs="Times New Roman"/>
          <w:bCs/>
          <w:sz w:val="20"/>
          <w:szCs w:val="20"/>
          <w:lang w:eastAsia="uk-UA"/>
        </w:rPr>
        <w:t>Стратегія розвитку сільського господарства та сільських територій на період до 2030 року</w:t>
      </w:r>
      <w:r w:rsidR="00FA271E" w:rsidRPr="009C7AA3">
        <w:rPr>
          <w:rFonts w:ascii="Times New Roman" w:eastAsia="Times New Roman" w:hAnsi="Times New Roman" w:cs="Times New Roman"/>
          <w:sz w:val="20"/>
          <w:szCs w:val="20"/>
          <w:lang w:eastAsia="uk-UA"/>
        </w:rPr>
        <w:t xml:space="preserve"> стала </w:t>
      </w:r>
      <w:r w:rsidR="00FA271E" w:rsidRPr="009C7AA3">
        <w:rPr>
          <w:rFonts w:ascii="Times New Roman" w:eastAsia="Times New Roman" w:hAnsi="Times New Roman" w:cs="Times New Roman"/>
          <w:bCs/>
          <w:sz w:val="20"/>
          <w:szCs w:val="20"/>
          <w:lang w:eastAsia="uk-UA"/>
        </w:rPr>
        <w:t>дієвим інструментом співпраці влади та організацій громадянського суспільства (ОГС)</w:t>
      </w:r>
      <w:r w:rsidR="00FA271E" w:rsidRPr="009C7AA3">
        <w:rPr>
          <w:rFonts w:ascii="Times New Roman" w:eastAsia="Times New Roman" w:hAnsi="Times New Roman" w:cs="Times New Roman"/>
          <w:sz w:val="20"/>
          <w:szCs w:val="20"/>
          <w:lang w:eastAsia="uk-UA"/>
        </w:rPr>
        <w:t xml:space="preserve"> у сфері аграрного та сільського розвитку, потрібен комплекс практичних кроків, які забезпечать </w:t>
      </w:r>
      <w:proofErr w:type="spellStart"/>
      <w:r w:rsidR="00FA271E" w:rsidRPr="009C7AA3">
        <w:rPr>
          <w:rFonts w:ascii="Times New Roman" w:eastAsia="Times New Roman" w:hAnsi="Times New Roman" w:cs="Times New Roman"/>
          <w:bCs/>
          <w:sz w:val="20"/>
          <w:szCs w:val="20"/>
          <w:lang w:eastAsia="uk-UA"/>
        </w:rPr>
        <w:t>інституційність</w:t>
      </w:r>
      <w:proofErr w:type="spellEnd"/>
      <w:r w:rsidR="00FA271E" w:rsidRPr="009C7AA3">
        <w:rPr>
          <w:rFonts w:ascii="Times New Roman" w:eastAsia="Times New Roman" w:hAnsi="Times New Roman" w:cs="Times New Roman"/>
          <w:bCs/>
          <w:sz w:val="20"/>
          <w:szCs w:val="20"/>
          <w:lang w:eastAsia="uk-UA"/>
        </w:rPr>
        <w:t>, прозорість і результативність</w:t>
      </w:r>
      <w:r w:rsidR="00FA271E" w:rsidRPr="009C7AA3">
        <w:rPr>
          <w:rFonts w:ascii="Times New Roman" w:eastAsia="Times New Roman" w:hAnsi="Times New Roman" w:cs="Times New Roman"/>
          <w:sz w:val="20"/>
          <w:szCs w:val="20"/>
          <w:lang w:eastAsia="uk-UA"/>
        </w:rPr>
        <w:t xml:space="preserve"> цього процесу</w:t>
      </w:r>
      <w:r w:rsidR="00FA271E" w:rsidRPr="00FA271E">
        <w:rPr>
          <w:rFonts w:ascii="Times New Roman" w:eastAsia="Times New Roman" w:hAnsi="Times New Roman" w:cs="Times New Roman"/>
          <w:sz w:val="24"/>
          <w:szCs w:val="24"/>
          <w:lang w:eastAsia="uk-UA"/>
        </w:rPr>
        <w:t>.</w:t>
      </w:r>
    </w:p>
    <w:p w14:paraId="0C07A8E4" w14:textId="77777777" w:rsidR="00FA271E" w:rsidRPr="00B51B6B" w:rsidRDefault="00B51B6B" w:rsidP="00B51B6B">
      <w:pPr>
        <w:pStyle w:val="a3"/>
        <w:ind w:firstLine="567"/>
        <w:jc w:val="both"/>
        <w:rPr>
          <w:rFonts w:ascii="Times New Roman" w:hAnsi="Times New Roman" w:cs="Times New Roman"/>
          <w:b/>
          <w:sz w:val="20"/>
          <w:szCs w:val="20"/>
          <w:lang w:eastAsia="uk-UA"/>
        </w:rPr>
      </w:pPr>
      <w:r w:rsidRPr="00B51B6B">
        <w:rPr>
          <w:rFonts w:ascii="Times New Roman" w:hAnsi="Times New Roman" w:cs="Times New Roman"/>
          <w:b/>
          <w:sz w:val="20"/>
          <w:szCs w:val="20"/>
          <w:lang w:eastAsia="uk-UA"/>
        </w:rPr>
        <w:t>Ін</w:t>
      </w:r>
      <w:r w:rsidR="00FA271E" w:rsidRPr="00B51B6B">
        <w:rPr>
          <w:rFonts w:ascii="Times New Roman" w:hAnsi="Times New Roman" w:cs="Times New Roman"/>
          <w:b/>
          <w:sz w:val="20"/>
          <w:szCs w:val="20"/>
          <w:lang w:eastAsia="uk-UA"/>
        </w:rPr>
        <w:t>ституційне закріплення співпраці</w:t>
      </w:r>
    </w:p>
    <w:p w14:paraId="1CE6F358" w14:textId="77777777" w:rsidR="00AF527C" w:rsidRDefault="00AF527C" w:rsidP="00B51B6B">
      <w:pPr>
        <w:pStyle w:val="a3"/>
        <w:ind w:firstLine="567"/>
        <w:jc w:val="both"/>
        <w:rPr>
          <w:rFonts w:ascii="Times New Roman" w:hAnsi="Times New Roman" w:cs="Times New Roman"/>
          <w:sz w:val="20"/>
          <w:szCs w:val="20"/>
          <w:lang w:eastAsia="uk-UA"/>
        </w:rPr>
      </w:pPr>
    </w:p>
    <w:p w14:paraId="63123981" w14:textId="77777777" w:rsidR="00FA271E" w:rsidRPr="00B51B6B" w:rsidRDefault="00FA271E" w:rsidP="00B51B6B">
      <w:pPr>
        <w:pStyle w:val="a3"/>
        <w:ind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Ціль: створити офіційну рамку для участі ОГС у реалізації Стратегії.</w:t>
      </w:r>
    </w:p>
    <w:p w14:paraId="4D34EF17" w14:textId="77777777" w:rsidR="00FA271E" w:rsidRPr="00B51B6B" w:rsidRDefault="00FA271E" w:rsidP="00B51B6B">
      <w:pPr>
        <w:pStyle w:val="a3"/>
        <w:ind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Практичні кроки:</w:t>
      </w:r>
    </w:p>
    <w:p w14:paraId="02C52E69"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Створення дорадчих рад та робочих груп при Міністерстві економіки, довкілля та сільського господарства України для координації реалізації Стратегії.</w:t>
      </w:r>
    </w:p>
    <w:p w14:paraId="61921895"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Закріплення ролі ОГС у моніторингу та оцінці заходів Стратегії через постанову уряду або наказ Мінекономіки.</w:t>
      </w:r>
    </w:p>
    <w:p w14:paraId="3CC5ECF0"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Регламентування процедур залучення ОГС: терміни подання пропозицій, формат консультацій, механізм врахування зауважень.</w:t>
      </w:r>
    </w:p>
    <w:p w14:paraId="101F97BF" w14:textId="77777777" w:rsidR="00B51B6B" w:rsidRDefault="00B51B6B" w:rsidP="00B51B6B">
      <w:pPr>
        <w:pStyle w:val="a3"/>
        <w:jc w:val="both"/>
        <w:rPr>
          <w:rFonts w:ascii="Times New Roman" w:hAnsi="Times New Roman" w:cs="Times New Roman"/>
          <w:sz w:val="20"/>
          <w:szCs w:val="20"/>
          <w:lang w:eastAsia="uk-UA"/>
        </w:rPr>
      </w:pPr>
    </w:p>
    <w:p w14:paraId="270D24B9" w14:textId="77777777" w:rsidR="00FA271E" w:rsidRPr="00B51B6B" w:rsidRDefault="00FA271E" w:rsidP="00B51B6B">
      <w:pPr>
        <w:pStyle w:val="a3"/>
        <w:ind w:firstLine="567"/>
        <w:jc w:val="both"/>
        <w:rPr>
          <w:rFonts w:ascii="Times New Roman" w:hAnsi="Times New Roman" w:cs="Times New Roman"/>
          <w:b/>
          <w:sz w:val="20"/>
          <w:szCs w:val="20"/>
          <w:lang w:eastAsia="uk-UA"/>
        </w:rPr>
      </w:pPr>
      <w:r w:rsidRPr="00B51B6B">
        <w:rPr>
          <w:rFonts w:ascii="Times New Roman" w:hAnsi="Times New Roman" w:cs="Times New Roman"/>
          <w:b/>
          <w:sz w:val="20"/>
          <w:szCs w:val="20"/>
          <w:lang w:eastAsia="uk-UA"/>
        </w:rPr>
        <w:t>Забезпечення публічного моніторингу та прозорості</w:t>
      </w:r>
    </w:p>
    <w:p w14:paraId="3E4698BC" w14:textId="77777777" w:rsidR="00AF527C" w:rsidRDefault="00AF527C" w:rsidP="00B51B6B">
      <w:pPr>
        <w:pStyle w:val="a3"/>
        <w:ind w:firstLine="567"/>
        <w:jc w:val="both"/>
        <w:rPr>
          <w:rFonts w:ascii="Times New Roman" w:hAnsi="Times New Roman" w:cs="Times New Roman"/>
          <w:sz w:val="20"/>
          <w:szCs w:val="20"/>
          <w:lang w:eastAsia="uk-UA"/>
        </w:rPr>
      </w:pPr>
    </w:p>
    <w:p w14:paraId="355E41BC" w14:textId="77777777" w:rsidR="00FA271E" w:rsidRPr="00B51B6B" w:rsidRDefault="00FA271E" w:rsidP="00B51B6B">
      <w:pPr>
        <w:pStyle w:val="a3"/>
        <w:ind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Ціль: підвищити прозорість процесу реалізації Стратегії та контроль з боку громадськості.</w:t>
      </w:r>
    </w:p>
    <w:p w14:paraId="7C0C902D" w14:textId="77777777" w:rsidR="00FA271E" w:rsidRPr="00B51B6B" w:rsidRDefault="00FA271E" w:rsidP="00B51B6B">
      <w:pPr>
        <w:pStyle w:val="a3"/>
        <w:ind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Практичні кроки:</w:t>
      </w:r>
    </w:p>
    <w:p w14:paraId="0904081C"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lastRenderedPageBreak/>
        <w:t>Розробка та впровадження онлайн-платформи публічного моніторингу реалізації Стратегії з відкритими даними про фінансування та проекти.</w:t>
      </w:r>
    </w:p>
    <w:p w14:paraId="7AB7D417"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 xml:space="preserve">Регулярне оприлюднення звітів (щорічно або </w:t>
      </w:r>
      <w:proofErr w:type="spellStart"/>
      <w:r w:rsidRPr="00B51B6B">
        <w:rPr>
          <w:rFonts w:ascii="Times New Roman" w:hAnsi="Times New Roman" w:cs="Times New Roman"/>
          <w:sz w:val="20"/>
          <w:szCs w:val="20"/>
          <w:lang w:eastAsia="uk-UA"/>
        </w:rPr>
        <w:t>щопівроку</w:t>
      </w:r>
      <w:proofErr w:type="spellEnd"/>
      <w:r w:rsidRPr="00B51B6B">
        <w:rPr>
          <w:rFonts w:ascii="Times New Roman" w:hAnsi="Times New Roman" w:cs="Times New Roman"/>
          <w:sz w:val="20"/>
          <w:szCs w:val="20"/>
          <w:lang w:eastAsia="uk-UA"/>
        </w:rPr>
        <w:t>) з індикаторами досягнення цілей.</w:t>
      </w:r>
    </w:p>
    <w:p w14:paraId="79505FDA" w14:textId="77777777" w:rsidR="00FA271E" w:rsidRPr="00B51B6B" w:rsidRDefault="00FA271E" w:rsidP="00B51B6B">
      <w:pPr>
        <w:pStyle w:val="a3"/>
        <w:numPr>
          <w:ilvl w:val="0"/>
          <w:numId w:val="41"/>
        </w:numPr>
        <w:ind w:left="0" w:firstLine="567"/>
        <w:jc w:val="both"/>
        <w:rPr>
          <w:rFonts w:ascii="Times New Roman" w:hAnsi="Times New Roman" w:cs="Times New Roman"/>
          <w:sz w:val="20"/>
          <w:szCs w:val="20"/>
          <w:lang w:eastAsia="uk-UA"/>
        </w:rPr>
      </w:pPr>
      <w:r w:rsidRPr="00B51B6B">
        <w:rPr>
          <w:rFonts w:ascii="Times New Roman" w:hAnsi="Times New Roman" w:cs="Times New Roman"/>
          <w:sz w:val="20"/>
          <w:szCs w:val="20"/>
          <w:lang w:eastAsia="uk-UA"/>
        </w:rPr>
        <w:t>Проведення громадських слухань і публічних консультацій перед затвердженням річних планів реалізації Стратегії.</w:t>
      </w:r>
    </w:p>
    <w:p w14:paraId="1B7A24CF" w14:textId="77777777" w:rsidR="00AF527C" w:rsidRDefault="00AF527C" w:rsidP="00AF527C">
      <w:pPr>
        <w:pStyle w:val="a3"/>
        <w:rPr>
          <w:rFonts w:ascii="Times New Roman" w:hAnsi="Times New Roman" w:cs="Times New Roman"/>
          <w:sz w:val="20"/>
          <w:szCs w:val="20"/>
          <w:lang w:eastAsia="uk-UA"/>
        </w:rPr>
      </w:pPr>
    </w:p>
    <w:p w14:paraId="37E2E15B" w14:textId="77777777" w:rsidR="00FA271E" w:rsidRDefault="00FA271E" w:rsidP="00AF527C">
      <w:pPr>
        <w:pStyle w:val="a3"/>
        <w:ind w:firstLine="567"/>
        <w:jc w:val="both"/>
        <w:rPr>
          <w:rFonts w:ascii="Times New Roman" w:hAnsi="Times New Roman" w:cs="Times New Roman"/>
          <w:b/>
          <w:sz w:val="20"/>
          <w:szCs w:val="20"/>
          <w:lang w:eastAsia="uk-UA"/>
        </w:rPr>
      </w:pPr>
      <w:r w:rsidRPr="00AF527C">
        <w:rPr>
          <w:rFonts w:ascii="Times New Roman" w:hAnsi="Times New Roman" w:cs="Times New Roman"/>
          <w:b/>
          <w:sz w:val="20"/>
          <w:szCs w:val="20"/>
          <w:lang w:eastAsia="uk-UA"/>
        </w:rPr>
        <w:t>Створення механізму індикаторів та KPI</w:t>
      </w:r>
    </w:p>
    <w:p w14:paraId="15EC36D4" w14:textId="77777777" w:rsidR="00AF527C" w:rsidRPr="00AF527C" w:rsidRDefault="00AF527C" w:rsidP="00AF527C">
      <w:pPr>
        <w:pStyle w:val="a3"/>
        <w:ind w:firstLine="567"/>
        <w:jc w:val="both"/>
        <w:rPr>
          <w:rFonts w:ascii="Times New Roman" w:hAnsi="Times New Roman" w:cs="Times New Roman"/>
          <w:b/>
          <w:sz w:val="20"/>
          <w:szCs w:val="20"/>
          <w:lang w:eastAsia="uk-UA"/>
        </w:rPr>
      </w:pPr>
    </w:p>
    <w:p w14:paraId="22002388" w14:textId="77777777" w:rsidR="00FA271E" w:rsidRPr="00AF527C" w:rsidRDefault="00FA271E" w:rsidP="00AF527C">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Ціль: дати ОГС інструмент для оцінки ефективності заходів Стратегії.</w:t>
      </w:r>
    </w:p>
    <w:p w14:paraId="7A5FDAF0" w14:textId="77777777" w:rsidR="00FA271E" w:rsidRPr="00AF527C" w:rsidRDefault="00FA271E" w:rsidP="00AF527C">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Практичні кроки:</w:t>
      </w:r>
    </w:p>
    <w:p w14:paraId="4A5F34C7" w14:textId="77777777" w:rsidR="00FA271E" w:rsidRPr="00AF527C"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Розробка системи ключових показників ефективності (KPI) для кожного напряму Стратегії із залученням ОГС.</w:t>
      </w:r>
    </w:p>
    <w:p w14:paraId="41789F6B" w14:textId="77777777" w:rsidR="00FA271E" w:rsidRPr="00AF527C"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Встановлення порогових значень та методів оцінки результатів, щоб громадські організації могли робити незалежні аналітичні висновки.</w:t>
      </w:r>
    </w:p>
    <w:p w14:paraId="4B889FA4" w14:textId="77777777" w:rsidR="00FA271E" w:rsidRPr="00AF527C"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Інтеграція цих KPI у річні звіти та комунікацію з громадами.</w:t>
      </w:r>
    </w:p>
    <w:p w14:paraId="53613343" w14:textId="77777777" w:rsidR="007D78A5" w:rsidRDefault="007D78A5" w:rsidP="00AF527C">
      <w:pPr>
        <w:pStyle w:val="a3"/>
        <w:ind w:firstLine="567"/>
        <w:jc w:val="both"/>
        <w:rPr>
          <w:rFonts w:ascii="Times New Roman" w:hAnsi="Times New Roman" w:cs="Times New Roman"/>
          <w:b/>
          <w:sz w:val="20"/>
          <w:szCs w:val="20"/>
          <w:lang w:eastAsia="uk-UA"/>
        </w:rPr>
      </w:pPr>
    </w:p>
    <w:p w14:paraId="52F885A1" w14:textId="77777777" w:rsidR="00FA271E" w:rsidRPr="00AF527C" w:rsidRDefault="00FA271E" w:rsidP="00AF527C">
      <w:pPr>
        <w:pStyle w:val="a3"/>
        <w:ind w:firstLine="567"/>
        <w:jc w:val="both"/>
        <w:rPr>
          <w:rFonts w:ascii="Times New Roman" w:hAnsi="Times New Roman" w:cs="Times New Roman"/>
          <w:b/>
          <w:sz w:val="20"/>
          <w:szCs w:val="20"/>
          <w:lang w:eastAsia="uk-UA"/>
        </w:rPr>
      </w:pPr>
      <w:r w:rsidRPr="00AF527C">
        <w:rPr>
          <w:rFonts w:ascii="Times New Roman" w:hAnsi="Times New Roman" w:cs="Times New Roman"/>
          <w:b/>
          <w:sz w:val="20"/>
          <w:szCs w:val="20"/>
          <w:lang w:eastAsia="uk-UA"/>
        </w:rPr>
        <w:t>Активізація консультацій та діалогу з ОГС</w:t>
      </w:r>
    </w:p>
    <w:p w14:paraId="232B47BC" w14:textId="77777777" w:rsidR="00AF527C" w:rsidRDefault="00AF527C" w:rsidP="00AF527C">
      <w:pPr>
        <w:pStyle w:val="a3"/>
        <w:ind w:firstLine="567"/>
        <w:jc w:val="both"/>
        <w:rPr>
          <w:rFonts w:ascii="Times New Roman" w:hAnsi="Times New Roman" w:cs="Times New Roman"/>
          <w:sz w:val="20"/>
          <w:szCs w:val="20"/>
          <w:lang w:eastAsia="uk-UA"/>
        </w:rPr>
      </w:pPr>
    </w:p>
    <w:p w14:paraId="4E6BAD65" w14:textId="77777777" w:rsidR="00FA271E" w:rsidRPr="00AF527C" w:rsidRDefault="00FA271E" w:rsidP="00AF527C">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Ціль: забезпечити реальний вплив громадськості на прийняття рішень.</w:t>
      </w:r>
    </w:p>
    <w:p w14:paraId="13E7DB14" w14:textId="77777777" w:rsidR="00FA271E" w:rsidRPr="00AF527C" w:rsidRDefault="00FA271E" w:rsidP="00AF527C">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Практичні кроки:</w:t>
      </w:r>
    </w:p>
    <w:p w14:paraId="40CC4A82" w14:textId="77777777" w:rsidR="00FA271E" w:rsidRPr="00AF527C"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Регулярні круглі столи та форуми за участю представників ОГС, фермерських асоціацій та місцевих рад.</w:t>
      </w:r>
    </w:p>
    <w:p w14:paraId="78533890" w14:textId="77777777" w:rsidR="00FA271E" w:rsidRPr="00AF527C"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Включення ОГС у процес розробки регіональних планів розвитку сільських територій.</w:t>
      </w:r>
    </w:p>
    <w:p w14:paraId="2BADD643" w14:textId="77777777" w:rsidR="00FA271E" w:rsidRDefault="00FA271E" w:rsidP="00AF527C">
      <w:pPr>
        <w:pStyle w:val="a3"/>
        <w:numPr>
          <w:ilvl w:val="0"/>
          <w:numId w:val="41"/>
        </w:numPr>
        <w:ind w:left="0"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Впровадження механізму письмового реагування на пропозиції ОГС у державних документах (як це передбачено у Платформі громадянського суспільства в Угоді про асоціацію).</w:t>
      </w:r>
    </w:p>
    <w:p w14:paraId="47019C2F" w14:textId="77777777" w:rsidR="00AF527C" w:rsidRPr="00AF527C" w:rsidRDefault="00AF527C" w:rsidP="00AF527C">
      <w:pPr>
        <w:pStyle w:val="a3"/>
        <w:ind w:left="567"/>
        <w:jc w:val="both"/>
        <w:rPr>
          <w:rFonts w:ascii="Times New Roman" w:hAnsi="Times New Roman" w:cs="Times New Roman"/>
          <w:sz w:val="20"/>
          <w:szCs w:val="20"/>
          <w:lang w:eastAsia="uk-UA"/>
        </w:rPr>
      </w:pPr>
    </w:p>
    <w:p w14:paraId="23D19ABB" w14:textId="77777777" w:rsidR="00FA271E" w:rsidRDefault="00FA271E" w:rsidP="00AF527C">
      <w:pPr>
        <w:pStyle w:val="a3"/>
        <w:ind w:firstLine="567"/>
        <w:rPr>
          <w:rFonts w:ascii="Times New Roman" w:hAnsi="Times New Roman" w:cs="Times New Roman"/>
          <w:b/>
          <w:sz w:val="20"/>
          <w:szCs w:val="20"/>
          <w:lang w:eastAsia="uk-UA"/>
        </w:rPr>
      </w:pPr>
      <w:r w:rsidRPr="00AF527C">
        <w:rPr>
          <w:rFonts w:ascii="Times New Roman" w:hAnsi="Times New Roman" w:cs="Times New Roman"/>
          <w:b/>
          <w:sz w:val="20"/>
          <w:szCs w:val="20"/>
          <w:lang w:eastAsia="uk-UA"/>
        </w:rPr>
        <w:t>Комунікаційна стратегія</w:t>
      </w:r>
    </w:p>
    <w:p w14:paraId="3B29C1BD" w14:textId="77777777" w:rsidR="00AF527C" w:rsidRPr="00AF527C" w:rsidRDefault="00AF527C" w:rsidP="00AF527C">
      <w:pPr>
        <w:pStyle w:val="a3"/>
        <w:ind w:firstLine="567"/>
        <w:rPr>
          <w:rFonts w:ascii="Times New Roman" w:hAnsi="Times New Roman" w:cs="Times New Roman"/>
          <w:b/>
          <w:sz w:val="20"/>
          <w:szCs w:val="20"/>
          <w:lang w:eastAsia="uk-UA"/>
        </w:rPr>
      </w:pPr>
    </w:p>
    <w:p w14:paraId="4BFA4647" w14:textId="77777777" w:rsidR="00FA271E" w:rsidRPr="00AF527C" w:rsidRDefault="00FA271E" w:rsidP="00AF527C">
      <w:pPr>
        <w:pStyle w:val="a3"/>
        <w:ind w:firstLine="567"/>
        <w:rPr>
          <w:rFonts w:ascii="Times New Roman" w:hAnsi="Times New Roman" w:cs="Times New Roman"/>
          <w:sz w:val="20"/>
          <w:szCs w:val="20"/>
          <w:lang w:eastAsia="uk-UA"/>
        </w:rPr>
      </w:pPr>
      <w:r w:rsidRPr="00AF527C">
        <w:rPr>
          <w:rFonts w:ascii="Times New Roman" w:hAnsi="Times New Roman" w:cs="Times New Roman"/>
          <w:sz w:val="20"/>
          <w:szCs w:val="20"/>
          <w:lang w:eastAsia="uk-UA"/>
        </w:rPr>
        <w:t>Ціль: підвищити обізнаність громадськості і залучити їх до процесу.</w:t>
      </w:r>
    </w:p>
    <w:p w14:paraId="5B66EABB" w14:textId="77777777" w:rsidR="00FA271E" w:rsidRPr="00AF527C" w:rsidRDefault="00FA271E" w:rsidP="00AF527C">
      <w:pPr>
        <w:pStyle w:val="a3"/>
        <w:ind w:firstLine="567"/>
        <w:rPr>
          <w:rFonts w:ascii="Times New Roman" w:hAnsi="Times New Roman" w:cs="Times New Roman"/>
          <w:sz w:val="20"/>
          <w:szCs w:val="20"/>
          <w:lang w:eastAsia="uk-UA"/>
        </w:rPr>
      </w:pPr>
      <w:r w:rsidRPr="00AF527C">
        <w:rPr>
          <w:rFonts w:ascii="Times New Roman" w:hAnsi="Times New Roman" w:cs="Times New Roman"/>
          <w:sz w:val="20"/>
          <w:szCs w:val="20"/>
          <w:lang w:eastAsia="uk-UA"/>
        </w:rPr>
        <w:t>Практичні кроки:</w:t>
      </w:r>
    </w:p>
    <w:p w14:paraId="1647F914" w14:textId="77777777" w:rsidR="00FA271E" w:rsidRPr="00AF527C" w:rsidRDefault="00FA271E" w:rsidP="00AF527C">
      <w:pPr>
        <w:pStyle w:val="a3"/>
        <w:numPr>
          <w:ilvl w:val="0"/>
          <w:numId w:val="41"/>
        </w:numPr>
        <w:ind w:left="0" w:firstLine="567"/>
        <w:rPr>
          <w:rFonts w:ascii="Times New Roman" w:hAnsi="Times New Roman" w:cs="Times New Roman"/>
          <w:sz w:val="20"/>
          <w:szCs w:val="20"/>
          <w:lang w:eastAsia="uk-UA"/>
        </w:rPr>
      </w:pPr>
      <w:r w:rsidRPr="00AF527C">
        <w:rPr>
          <w:rFonts w:ascii="Times New Roman" w:hAnsi="Times New Roman" w:cs="Times New Roman"/>
          <w:sz w:val="20"/>
          <w:szCs w:val="20"/>
          <w:lang w:eastAsia="uk-UA"/>
        </w:rPr>
        <w:t>Публічні кампанії та інформаційні матеріали про цілі, заходи та досягнення Стратегії.</w:t>
      </w:r>
    </w:p>
    <w:p w14:paraId="622B3261" w14:textId="77777777" w:rsidR="00FA271E" w:rsidRPr="00AF527C" w:rsidRDefault="00FA271E" w:rsidP="00AF527C">
      <w:pPr>
        <w:pStyle w:val="a3"/>
        <w:numPr>
          <w:ilvl w:val="0"/>
          <w:numId w:val="41"/>
        </w:numPr>
        <w:ind w:left="0" w:firstLine="567"/>
        <w:rPr>
          <w:rFonts w:ascii="Times New Roman" w:hAnsi="Times New Roman" w:cs="Times New Roman"/>
          <w:sz w:val="20"/>
          <w:szCs w:val="20"/>
          <w:lang w:eastAsia="uk-UA"/>
        </w:rPr>
      </w:pPr>
      <w:r w:rsidRPr="00AF527C">
        <w:rPr>
          <w:rFonts w:ascii="Times New Roman" w:hAnsi="Times New Roman" w:cs="Times New Roman"/>
          <w:sz w:val="20"/>
          <w:szCs w:val="20"/>
          <w:lang w:eastAsia="uk-UA"/>
        </w:rPr>
        <w:t>Регулярне висвітлення успішних практик за участю громадських організацій.</w:t>
      </w:r>
    </w:p>
    <w:p w14:paraId="2E38A355" w14:textId="77777777" w:rsidR="00FA271E" w:rsidRPr="00AF527C" w:rsidRDefault="00FA271E" w:rsidP="00AF527C">
      <w:pPr>
        <w:pStyle w:val="a3"/>
        <w:numPr>
          <w:ilvl w:val="0"/>
          <w:numId w:val="41"/>
        </w:numPr>
        <w:ind w:left="0" w:firstLine="567"/>
        <w:rPr>
          <w:rFonts w:ascii="Times New Roman" w:hAnsi="Times New Roman" w:cs="Times New Roman"/>
          <w:sz w:val="20"/>
          <w:szCs w:val="20"/>
          <w:lang w:eastAsia="uk-UA"/>
        </w:rPr>
      </w:pPr>
      <w:r w:rsidRPr="00AF527C">
        <w:rPr>
          <w:rFonts w:ascii="Times New Roman" w:hAnsi="Times New Roman" w:cs="Times New Roman"/>
          <w:sz w:val="20"/>
          <w:szCs w:val="20"/>
          <w:lang w:eastAsia="uk-UA"/>
        </w:rPr>
        <w:t>Створення локальних платформ обміну досвідом між громадами, фермерами та державними структурами.</w:t>
      </w:r>
    </w:p>
    <w:p w14:paraId="4DDEC387" w14:textId="77777777" w:rsidR="00AF527C" w:rsidRDefault="00AF527C" w:rsidP="00AF527C">
      <w:pPr>
        <w:pStyle w:val="a3"/>
        <w:rPr>
          <w:sz w:val="20"/>
          <w:szCs w:val="20"/>
          <w:lang w:eastAsia="uk-UA"/>
        </w:rPr>
      </w:pPr>
    </w:p>
    <w:p w14:paraId="75FFEF1A" w14:textId="77777777" w:rsidR="00FA271E" w:rsidRPr="00AF527C" w:rsidRDefault="00FA271E" w:rsidP="00C45E1B">
      <w:pPr>
        <w:pStyle w:val="a3"/>
        <w:ind w:firstLine="567"/>
        <w:jc w:val="both"/>
        <w:rPr>
          <w:rFonts w:ascii="Times New Roman" w:hAnsi="Times New Roman" w:cs="Times New Roman"/>
          <w:b/>
          <w:sz w:val="20"/>
          <w:szCs w:val="20"/>
          <w:lang w:eastAsia="uk-UA"/>
        </w:rPr>
      </w:pPr>
      <w:r w:rsidRPr="00AF527C">
        <w:rPr>
          <w:rFonts w:ascii="Times New Roman" w:hAnsi="Times New Roman" w:cs="Times New Roman"/>
          <w:b/>
          <w:sz w:val="20"/>
          <w:szCs w:val="20"/>
          <w:lang w:eastAsia="uk-UA"/>
        </w:rPr>
        <w:t xml:space="preserve">Пілотні </w:t>
      </w:r>
      <w:proofErr w:type="spellStart"/>
      <w:r w:rsidRPr="00AF527C">
        <w:rPr>
          <w:rFonts w:ascii="Times New Roman" w:hAnsi="Times New Roman" w:cs="Times New Roman"/>
          <w:b/>
          <w:sz w:val="20"/>
          <w:szCs w:val="20"/>
          <w:lang w:eastAsia="uk-UA"/>
        </w:rPr>
        <w:t>проєкти</w:t>
      </w:r>
      <w:proofErr w:type="spellEnd"/>
      <w:r w:rsidRPr="00AF527C">
        <w:rPr>
          <w:rFonts w:ascii="Times New Roman" w:hAnsi="Times New Roman" w:cs="Times New Roman"/>
          <w:b/>
          <w:sz w:val="20"/>
          <w:szCs w:val="20"/>
          <w:lang w:eastAsia="uk-UA"/>
        </w:rPr>
        <w:t xml:space="preserve"> та локальні ініціативи</w:t>
      </w:r>
    </w:p>
    <w:p w14:paraId="7684A936" w14:textId="77777777" w:rsidR="00AF527C" w:rsidRDefault="00AF527C" w:rsidP="00C45E1B">
      <w:pPr>
        <w:pStyle w:val="a3"/>
        <w:ind w:firstLine="567"/>
        <w:jc w:val="both"/>
        <w:rPr>
          <w:rFonts w:ascii="Times New Roman" w:hAnsi="Times New Roman" w:cs="Times New Roman"/>
          <w:sz w:val="20"/>
          <w:szCs w:val="20"/>
          <w:lang w:eastAsia="uk-UA"/>
        </w:rPr>
      </w:pPr>
    </w:p>
    <w:p w14:paraId="5A5C64B1" w14:textId="77777777" w:rsidR="00FA271E" w:rsidRPr="00AF527C" w:rsidRDefault="00FA271E" w:rsidP="00C45E1B">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Ціль: перевірити механізми співпраці на практиці.</w:t>
      </w:r>
    </w:p>
    <w:p w14:paraId="258FBFAE" w14:textId="77777777" w:rsidR="00FA271E" w:rsidRPr="00AF527C" w:rsidRDefault="00FA271E" w:rsidP="00C45E1B">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Практичні кроки:</w:t>
      </w:r>
    </w:p>
    <w:p w14:paraId="16B946D6" w14:textId="77777777" w:rsidR="00FA271E" w:rsidRPr="00AF527C" w:rsidRDefault="00FA271E" w:rsidP="00C45E1B">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 xml:space="preserve">Реалізація пілотних </w:t>
      </w:r>
      <w:proofErr w:type="spellStart"/>
      <w:r w:rsidRPr="00AF527C">
        <w:rPr>
          <w:rFonts w:ascii="Times New Roman" w:hAnsi="Times New Roman" w:cs="Times New Roman"/>
          <w:sz w:val="20"/>
          <w:szCs w:val="20"/>
          <w:lang w:eastAsia="uk-UA"/>
        </w:rPr>
        <w:t>проєктів</w:t>
      </w:r>
      <w:proofErr w:type="spellEnd"/>
      <w:r w:rsidRPr="00AF527C">
        <w:rPr>
          <w:rFonts w:ascii="Times New Roman" w:hAnsi="Times New Roman" w:cs="Times New Roman"/>
          <w:sz w:val="20"/>
          <w:szCs w:val="20"/>
          <w:lang w:eastAsia="uk-UA"/>
        </w:rPr>
        <w:t xml:space="preserve"> спільно з ОГС у різних регіонах (наприклад, </w:t>
      </w:r>
      <w:proofErr w:type="spellStart"/>
      <w:r w:rsidRPr="00AF527C">
        <w:rPr>
          <w:rFonts w:ascii="Times New Roman" w:hAnsi="Times New Roman" w:cs="Times New Roman"/>
          <w:sz w:val="20"/>
          <w:szCs w:val="20"/>
          <w:lang w:eastAsia="uk-UA"/>
        </w:rPr>
        <w:t>проєкти</w:t>
      </w:r>
      <w:proofErr w:type="spellEnd"/>
      <w:r w:rsidRPr="00AF527C">
        <w:rPr>
          <w:rFonts w:ascii="Times New Roman" w:hAnsi="Times New Roman" w:cs="Times New Roman"/>
          <w:sz w:val="20"/>
          <w:szCs w:val="20"/>
          <w:lang w:eastAsia="uk-UA"/>
        </w:rPr>
        <w:t xml:space="preserve"> LEADER або дорадництво для фермерів).</w:t>
      </w:r>
    </w:p>
    <w:p w14:paraId="5CDF444D" w14:textId="77777777" w:rsidR="00FA271E" w:rsidRPr="00AF527C" w:rsidRDefault="00FA271E" w:rsidP="00C45E1B">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Моніторинг і оцінка ефективності пілотів з участю незалежних експертів та громадських організацій.</w:t>
      </w:r>
    </w:p>
    <w:p w14:paraId="7C4C1F87" w14:textId="77777777" w:rsidR="00FA271E" w:rsidRPr="00AF527C" w:rsidRDefault="00FA271E" w:rsidP="00C45E1B">
      <w:pPr>
        <w:pStyle w:val="a3"/>
        <w:ind w:firstLine="567"/>
        <w:jc w:val="both"/>
        <w:rPr>
          <w:rFonts w:ascii="Times New Roman" w:hAnsi="Times New Roman" w:cs="Times New Roman"/>
          <w:sz w:val="20"/>
          <w:szCs w:val="20"/>
          <w:lang w:eastAsia="uk-UA"/>
        </w:rPr>
      </w:pPr>
      <w:r w:rsidRPr="00AF527C">
        <w:rPr>
          <w:rFonts w:ascii="Times New Roman" w:hAnsi="Times New Roman" w:cs="Times New Roman"/>
          <w:sz w:val="20"/>
          <w:szCs w:val="20"/>
          <w:lang w:eastAsia="uk-UA"/>
        </w:rPr>
        <w:t>Масштабування успішних практик на рівні національної Стратегії.</w:t>
      </w:r>
    </w:p>
    <w:p w14:paraId="0F626AEB" w14:textId="77777777" w:rsidR="00AF527C" w:rsidRPr="00820EC0" w:rsidRDefault="00AF527C" w:rsidP="00C45E1B">
      <w:pPr>
        <w:pStyle w:val="a3"/>
        <w:ind w:firstLine="567"/>
        <w:jc w:val="both"/>
        <w:rPr>
          <w:rFonts w:ascii="Times New Roman" w:hAnsi="Times New Roman" w:cs="Times New Roman"/>
          <w:sz w:val="20"/>
          <w:szCs w:val="20"/>
          <w:lang w:eastAsia="uk-UA"/>
        </w:rPr>
      </w:pPr>
    </w:p>
    <w:p w14:paraId="4DAC6A00" w14:textId="77777777" w:rsidR="00FA271E" w:rsidRPr="00820EC0" w:rsidRDefault="00FA271E" w:rsidP="00C45E1B">
      <w:pPr>
        <w:pStyle w:val="a3"/>
        <w:ind w:firstLine="567"/>
        <w:jc w:val="both"/>
        <w:rPr>
          <w:rFonts w:ascii="Times New Roman" w:eastAsia="Times New Roman" w:hAnsi="Times New Roman" w:cs="Times New Roman"/>
          <w:sz w:val="20"/>
          <w:szCs w:val="20"/>
          <w:lang w:eastAsia="uk-UA"/>
        </w:rPr>
      </w:pPr>
      <w:r w:rsidRPr="00820EC0">
        <w:rPr>
          <w:rFonts w:ascii="Times New Roman" w:eastAsia="Times New Roman" w:hAnsi="Times New Roman" w:cs="Times New Roman"/>
          <w:sz w:val="20"/>
          <w:szCs w:val="20"/>
          <w:lang w:eastAsia="uk-UA"/>
        </w:rPr>
        <w:t xml:space="preserve">Ці кроки дозволяють перетворити Стратегію на </w:t>
      </w:r>
      <w:r w:rsidRPr="00820EC0">
        <w:rPr>
          <w:rFonts w:ascii="Times New Roman" w:eastAsia="Times New Roman" w:hAnsi="Times New Roman" w:cs="Times New Roman"/>
          <w:bCs/>
          <w:sz w:val="20"/>
          <w:szCs w:val="20"/>
          <w:lang w:eastAsia="uk-UA"/>
        </w:rPr>
        <w:t>інструмент активної співпраці влади та громадськості</w:t>
      </w:r>
      <w:r w:rsidRPr="00820EC0">
        <w:rPr>
          <w:rFonts w:ascii="Times New Roman" w:eastAsia="Times New Roman" w:hAnsi="Times New Roman" w:cs="Times New Roman"/>
          <w:sz w:val="20"/>
          <w:szCs w:val="20"/>
          <w:lang w:eastAsia="uk-UA"/>
        </w:rPr>
        <w:t>, що сприятиме:</w:t>
      </w:r>
    </w:p>
    <w:p w14:paraId="6A6B576A" w14:textId="77777777" w:rsidR="00FA271E" w:rsidRPr="00820EC0" w:rsidRDefault="00FA271E" w:rsidP="00C45E1B">
      <w:pPr>
        <w:pStyle w:val="a3"/>
        <w:numPr>
          <w:ilvl w:val="0"/>
          <w:numId w:val="41"/>
        </w:numPr>
        <w:ind w:left="0" w:firstLine="567"/>
        <w:jc w:val="both"/>
        <w:rPr>
          <w:rFonts w:ascii="Times New Roman" w:eastAsia="Times New Roman" w:hAnsi="Times New Roman" w:cs="Times New Roman"/>
          <w:sz w:val="20"/>
          <w:szCs w:val="20"/>
          <w:lang w:eastAsia="uk-UA"/>
        </w:rPr>
      </w:pPr>
      <w:r w:rsidRPr="00820EC0">
        <w:rPr>
          <w:rFonts w:ascii="Times New Roman" w:eastAsia="Times New Roman" w:hAnsi="Times New Roman" w:cs="Times New Roman"/>
          <w:sz w:val="20"/>
          <w:szCs w:val="20"/>
          <w:lang w:eastAsia="uk-UA"/>
        </w:rPr>
        <w:t>підвищенню ефективності державної політики у сфері аграрного розвитку;</w:t>
      </w:r>
    </w:p>
    <w:p w14:paraId="33058069" w14:textId="77777777" w:rsidR="00FA271E" w:rsidRPr="00820EC0" w:rsidRDefault="00FA271E" w:rsidP="00C45E1B">
      <w:pPr>
        <w:pStyle w:val="a3"/>
        <w:numPr>
          <w:ilvl w:val="0"/>
          <w:numId w:val="41"/>
        </w:numPr>
        <w:ind w:left="0" w:firstLine="567"/>
        <w:jc w:val="both"/>
        <w:rPr>
          <w:rFonts w:ascii="Times New Roman" w:eastAsia="Times New Roman" w:hAnsi="Times New Roman" w:cs="Times New Roman"/>
          <w:sz w:val="20"/>
          <w:szCs w:val="20"/>
          <w:lang w:eastAsia="uk-UA"/>
        </w:rPr>
      </w:pPr>
      <w:r w:rsidRPr="00820EC0">
        <w:rPr>
          <w:rFonts w:ascii="Times New Roman" w:eastAsia="Times New Roman" w:hAnsi="Times New Roman" w:cs="Times New Roman"/>
          <w:sz w:val="20"/>
          <w:szCs w:val="20"/>
          <w:lang w:eastAsia="uk-UA"/>
        </w:rPr>
        <w:t>розвитку сільських територій із урахуванням потреб місцевих громад;</w:t>
      </w:r>
    </w:p>
    <w:p w14:paraId="751BFC21" w14:textId="77777777" w:rsidR="00FA271E" w:rsidRPr="00820EC0" w:rsidRDefault="00FA271E" w:rsidP="00C45E1B">
      <w:pPr>
        <w:pStyle w:val="a3"/>
        <w:numPr>
          <w:ilvl w:val="0"/>
          <w:numId w:val="41"/>
        </w:numPr>
        <w:ind w:left="0" w:firstLine="567"/>
        <w:jc w:val="both"/>
        <w:rPr>
          <w:rFonts w:ascii="Times New Roman" w:eastAsia="Times New Roman" w:hAnsi="Times New Roman" w:cs="Times New Roman"/>
          <w:sz w:val="20"/>
          <w:szCs w:val="20"/>
          <w:lang w:eastAsia="uk-UA"/>
        </w:rPr>
      </w:pPr>
      <w:r w:rsidRPr="00820EC0">
        <w:rPr>
          <w:rFonts w:ascii="Times New Roman" w:eastAsia="Times New Roman" w:hAnsi="Times New Roman" w:cs="Times New Roman"/>
          <w:sz w:val="20"/>
          <w:szCs w:val="20"/>
          <w:lang w:eastAsia="uk-UA"/>
        </w:rPr>
        <w:t>побудові прозорого, інклюзивного та демократичного процесу планування і реалізації програм.</w:t>
      </w:r>
    </w:p>
    <w:p w14:paraId="4DA482D6" w14:textId="77777777" w:rsidR="00C45E1B" w:rsidRDefault="00C45E1B" w:rsidP="00C45E1B">
      <w:pPr>
        <w:pStyle w:val="a3"/>
        <w:ind w:firstLine="567"/>
        <w:rPr>
          <w:lang w:eastAsia="uk-UA"/>
        </w:rPr>
      </w:pPr>
    </w:p>
    <w:p w14:paraId="3B3C2788" w14:textId="77777777" w:rsidR="00154FF8" w:rsidRPr="00C45E1B" w:rsidRDefault="00C45E1B" w:rsidP="00C45E1B">
      <w:pPr>
        <w:pStyle w:val="a3"/>
        <w:ind w:firstLine="567"/>
        <w:jc w:val="both"/>
        <w:rPr>
          <w:rFonts w:ascii="Times New Roman" w:hAnsi="Times New Roman" w:cs="Times New Roman"/>
          <w:b/>
          <w:sz w:val="20"/>
          <w:szCs w:val="20"/>
          <w:lang w:eastAsia="uk-UA"/>
        </w:rPr>
      </w:pPr>
      <w:r w:rsidRPr="00C45E1B">
        <w:rPr>
          <w:rFonts w:ascii="Times New Roman" w:hAnsi="Times New Roman" w:cs="Times New Roman"/>
          <w:b/>
          <w:sz w:val="20"/>
          <w:szCs w:val="20"/>
          <w:lang w:eastAsia="uk-UA"/>
        </w:rPr>
        <w:t>КЛЮЧОВИЙ ВИСНОВОК</w:t>
      </w:r>
    </w:p>
    <w:p w14:paraId="0DC55371" w14:textId="77777777" w:rsidR="00C45E1B" w:rsidRPr="00C45E1B" w:rsidRDefault="00C45E1B" w:rsidP="00C45E1B">
      <w:pPr>
        <w:pStyle w:val="a3"/>
        <w:ind w:firstLine="567"/>
        <w:jc w:val="both"/>
        <w:rPr>
          <w:rFonts w:ascii="Times New Roman" w:hAnsi="Times New Roman" w:cs="Times New Roman"/>
          <w:sz w:val="20"/>
          <w:szCs w:val="20"/>
          <w:lang w:eastAsia="uk-UA"/>
        </w:rPr>
      </w:pPr>
    </w:p>
    <w:p w14:paraId="661ED104" w14:textId="77777777" w:rsidR="005B5B15" w:rsidRPr="00C45E1B" w:rsidRDefault="005B5B15" w:rsidP="00C45E1B">
      <w:pPr>
        <w:pStyle w:val="a3"/>
        <w:ind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 xml:space="preserve">Попри те, що </w:t>
      </w:r>
      <w:r w:rsidR="00C45E1B" w:rsidRPr="00C45E1B">
        <w:rPr>
          <w:rFonts w:ascii="Times New Roman" w:hAnsi="Times New Roman" w:cs="Times New Roman"/>
          <w:sz w:val="20"/>
          <w:szCs w:val="20"/>
          <w:lang w:eastAsia="uk-UA"/>
        </w:rPr>
        <w:t>Стратегія розвитку сільського господарства та сільських територій, а також Операційний план заходів на 2025-2027 роки</w:t>
      </w:r>
      <w:r w:rsidRPr="00C45E1B">
        <w:rPr>
          <w:rFonts w:ascii="Times New Roman" w:hAnsi="Times New Roman" w:cs="Times New Roman"/>
          <w:sz w:val="20"/>
          <w:szCs w:val="20"/>
          <w:lang w:eastAsia="uk-UA"/>
        </w:rPr>
        <w:t xml:space="preserve"> закріплюють роль громадськості, окремі проблеми залишаються</w:t>
      </w:r>
      <w:r w:rsidR="00C45E1B" w:rsidRPr="00C45E1B">
        <w:rPr>
          <w:rFonts w:ascii="Times New Roman" w:hAnsi="Times New Roman" w:cs="Times New Roman"/>
          <w:sz w:val="20"/>
          <w:szCs w:val="20"/>
          <w:lang w:eastAsia="uk-UA"/>
        </w:rPr>
        <w:t>.</w:t>
      </w:r>
    </w:p>
    <w:p w14:paraId="474584C8" w14:textId="77777777" w:rsidR="00C45E1B" w:rsidRDefault="00C45E1B" w:rsidP="00C45E1B">
      <w:pPr>
        <w:pStyle w:val="a3"/>
        <w:ind w:firstLine="567"/>
        <w:jc w:val="both"/>
        <w:rPr>
          <w:rFonts w:ascii="Times New Roman" w:hAnsi="Times New Roman" w:cs="Times New Roman"/>
          <w:sz w:val="20"/>
          <w:szCs w:val="20"/>
          <w:lang w:eastAsia="uk-UA"/>
        </w:rPr>
      </w:pPr>
    </w:p>
    <w:p w14:paraId="5103CFEF" w14:textId="77777777" w:rsidR="00745247" w:rsidRPr="00C45E1B" w:rsidRDefault="00745247" w:rsidP="00C45E1B">
      <w:pPr>
        <w:pStyle w:val="a3"/>
        <w:ind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 xml:space="preserve">Водночас Стратегія створює можливість переходу від епізодичних консультацій до </w:t>
      </w:r>
      <w:r w:rsidRPr="00C45E1B">
        <w:rPr>
          <w:rFonts w:ascii="Times New Roman" w:hAnsi="Times New Roman" w:cs="Times New Roman"/>
          <w:bCs/>
          <w:sz w:val="20"/>
          <w:szCs w:val="20"/>
          <w:lang w:eastAsia="uk-UA"/>
        </w:rPr>
        <w:t>системного партнерства</w:t>
      </w:r>
      <w:r w:rsidRPr="00C45E1B">
        <w:rPr>
          <w:rFonts w:ascii="Times New Roman" w:hAnsi="Times New Roman" w:cs="Times New Roman"/>
          <w:sz w:val="20"/>
          <w:szCs w:val="20"/>
          <w:lang w:eastAsia="uk-UA"/>
        </w:rPr>
        <w:t>, якщо:</w:t>
      </w:r>
    </w:p>
    <w:p w14:paraId="1A4CF784" w14:textId="77777777" w:rsidR="00745247" w:rsidRPr="00C45E1B" w:rsidRDefault="00745247" w:rsidP="00C45E1B">
      <w:pPr>
        <w:pStyle w:val="a3"/>
        <w:numPr>
          <w:ilvl w:val="0"/>
          <w:numId w:val="41"/>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при міністерстві діятимуть ефективні дорадчі механізми;</w:t>
      </w:r>
    </w:p>
    <w:p w14:paraId="15C047D1" w14:textId="77777777" w:rsidR="00745247" w:rsidRPr="00C45E1B" w:rsidRDefault="00745247" w:rsidP="00C45E1B">
      <w:pPr>
        <w:pStyle w:val="a3"/>
        <w:numPr>
          <w:ilvl w:val="0"/>
          <w:numId w:val="41"/>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моніторинг буде публічним;</w:t>
      </w:r>
    </w:p>
    <w:p w14:paraId="0C8FCDA2" w14:textId="77777777" w:rsidR="00745247" w:rsidRPr="00C45E1B" w:rsidRDefault="00745247" w:rsidP="00C45E1B">
      <w:pPr>
        <w:pStyle w:val="a3"/>
        <w:numPr>
          <w:ilvl w:val="0"/>
          <w:numId w:val="41"/>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результати обговорень реально впливатимуть на управлінські рішення.</w:t>
      </w:r>
    </w:p>
    <w:p w14:paraId="03D075E1" w14:textId="77777777" w:rsidR="00C45E1B" w:rsidRDefault="00C45E1B" w:rsidP="00C45E1B">
      <w:pPr>
        <w:pStyle w:val="a3"/>
        <w:ind w:firstLine="567"/>
        <w:jc w:val="both"/>
        <w:rPr>
          <w:rFonts w:ascii="Times New Roman" w:hAnsi="Times New Roman" w:cs="Times New Roman"/>
          <w:sz w:val="20"/>
          <w:szCs w:val="20"/>
          <w:lang w:eastAsia="uk-UA"/>
        </w:rPr>
      </w:pPr>
    </w:p>
    <w:p w14:paraId="6F46EACA" w14:textId="77777777" w:rsidR="00745247" w:rsidRPr="00C45E1B" w:rsidRDefault="00745247" w:rsidP="00C45E1B">
      <w:pPr>
        <w:pStyle w:val="a3"/>
        <w:ind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Реалізація Стратегії може стати прикладом нової моделі аграрного врядування — коли:</w:t>
      </w:r>
    </w:p>
    <w:p w14:paraId="0EAA2E1D" w14:textId="77777777" w:rsidR="00745247" w:rsidRPr="00C45E1B" w:rsidRDefault="00745247" w:rsidP="00C45E1B">
      <w:pPr>
        <w:pStyle w:val="a3"/>
        <w:numPr>
          <w:ilvl w:val="0"/>
          <w:numId w:val="43"/>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влада визначає рамку політики;</w:t>
      </w:r>
    </w:p>
    <w:p w14:paraId="31B7C336" w14:textId="77777777" w:rsidR="00745247" w:rsidRPr="00C45E1B" w:rsidRDefault="00745247" w:rsidP="00C45E1B">
      <w:pPr>
        <w:pStyle w:val="a3"/>
        <w:numPr>
          <w:ilvl w:val="0"/>
          <w:numId w:val="43"/>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lastRenderedPageBreak/>
        <w:t>громади формують локальні пріоритети;</w:t>
      </w:r>
    </w:p>
    <w:p w14:paraId="71C8BCB1" w14:textId="77777777" w:rsidR="00745247" w:rsidRPr="00C45E1B" w:rsidRDefault="00745247" w:rsidP="00C45E1B">
      <w:pPr>
        <w:pStyle w:val="a3"/>
        <w:numPr>
          <w:ilvl w:val="0"/>
          <w:numId w:val="43"/>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громадські організації забезпечують експертизу й контроль;</w:t>
      </w:r>
    </w:p>
    <w:p w14:paraId="3CFBB67B" w14:textId="77777777" w:rsidR="00745247" w:rsidRPr="00C45E1B" w:rsidRDefault="00745247" w:rsidP="00C45E1B">
      <w:pPr>
        <w:pStyle w:val="a3"/>
        <w:numPr>
          <w:ilvl w:val="0"/>
          <w:numId w:val="43"/>
        </w:numPr>
        <w:ind w:left="0" w:firstLine="567"/>
        <w:jc w:val="both"/>
        <w:rPr>
          <w:rFonts w:ascii="Times New Roman" w:hAnsi="Times New Roman" w:cs="Times New Roman"/>
          <w:sz w:val="20"/>
          <w:szCs w:val="20"/>
          <w:lang w:eastAsia="uk-UA"/>
        </w:rPr>
      </w:pPr>
      <w:r w:rsidRPr="00C45E1B">
        <w:rPr>
          <w:rFonts w:ascii="Times New Roman" w:hAnsi="Times New Roman" w:cs="Times New Roman"/>
          <w:sz w:val="20"/>
          <w:szCs w:val="20"/>
          <w:lang w:eastAsia="uk-UA"/>
        </w:rPr>
        <w:t>бізнес і фермери стають активними партнерами розвитку.</w:t>
      </w:r>
    </w:p>
    <w:p w14:paraId="1F9460FB" w14:textId="77777777" w:rsidR="00C45E1B" w:rsidRDefault="00C45E1B" w:rsidP="00C45E1B">
      <w:pPr>
        <w:pStyle w:val="a3"/>
        <w:ind w:firstLine="567"/>
        <w:jc w:val="both"/>
        <w:rPr>
          <w:rFonts w:ascii="Times New Roman" w:hAnsi="Times New Roman" w:cs="Times New Roman"/>
          <w:sz w:val="20"/>
          <w:szCs w:val="20"/>
        </w:rPr>
      </w:pPr>
    </w:p>
    <w:p w14:paraId="1A593DED" w14:textId="77777777" w:rsidR="00745247" w:rsidRDefault="007C4078" w:rsidP="00C45E1B">
      <w:pPr>
        <w:pStyle w:val="a3"/>
        <w:ind w:firstLine="567"/>
        <w:jc w:val="both"/>
        <w:rPr>
          <w:rFonts w:ascii="Times New Roman" w:hAnsi="Times New Roman" w:cs="Times New Roman"/>
          <w:i/>
          <w:sz w:val="20"/>
          <w:szCs w:val="20"/>
        </w:rPr>
      </w:pPr>
      <w:r w:rsidRPr="00C45E1B">
        <w:rPr>
          <w:rFonts w:ascii="Times New Roman" w:hAnsi="Times New Roman" w:cs="Times New Roman"/>
          <w:i/>
          <w:sz w:val="20"/>
          <w:szCs w:val="20"/>
        </w:rPr>
        <w:t>Співпраця влади та громадськості у цьому контексті — не додаткова опція, а фундаментальна умова сталого розвитку сільських територій.</w:t>
      </w:r>
    </w:p>
    <w:p w14:paraId="6CA95E2C" w14:textId="77777777" w:rsidR="00C45E1B" w:rsidRDefault="00C45E1B" w:rsidP="00C45E1B">
      <w:pPr>
        <w:pStyle w:val="a3"/>
        <w:ind w:firstLine="567"/>
        <w:jc w:val="both"/>
        <w:rPr>
          <w:rFonts w:ascii="Times New Roman" w:hAnsi="Times New Roman" w:cs="Times New Roman"/>
          <w:i/>
          <w:sz w:val="20"/>
          <w:szCs w:val="20"/>
        </w:rPr>
      </w:pPr>
    </w:p>
    <w:p w14:paraId="388EBD37" w14:textId="77777777" w:rsidR="00C45E1B" w:rsidRDefault="00C45E1B" w:rsidP="00C45E1B">
      <w:pPr>
        <w:pStyle w:val="a3"/>
        <w:ind w:firstLine="567"/>
        <w:jc w:val="both"/>
        <w:rPr>
          <w:rFonts w:ascii="Times New Roman" w:hAnsi="Times New Roman" w:cs="Times New Roman"/>
          <w:i/>
          <w:sz w:val="20"/>
          <w:szCs w:val="20"/>
        </w:rPr>
      </w:pPr>
    </w:p>
    <w:p w14:paraId="56FDAAF0" w14:textId="77777777" w:rsidR="00CA5496" w:rsidRPr="00701FDE" w:rsidRDefault="00CA5496" w:rsidP="00CA5496">
      <w:pPr>
        <w:pStyle w:val="a3"/>
        <w:jc w:val="right"/>
        <w:rPr>
          <w:rFonts w:ascii="Times New Roman" w:hAnsi="Times New Roman" w:cs="Times New Roman"/>
          <w:b/>
          <w:sz w:val="20"/>
          <w:szCs w:val="20"/>
        </w:rPr>
      </w:pPr>
      <w:r w:rsidRPr="00701FDE">
        <w:rPr>
          <w:rFonts w:ascii="Times New Roman" w:hAnsi="Times New Roman" w:cs="Times New Roman"/>
          <w:b/>
          <w:sz w:val="20"/>
          <w:szCs w:val="20"/>
        </w:rPr>
        <w:t>Роман Корінець,</w:t>
      </w:r>
    </w:p>
    <w:p w14:paraId="5C93AFB9" w14:textId="77777777" w:rsidR="00CA5496" w:rsidRPr="00701FDE" w:rsidRDefault="00CA5496" w:rsidP="00CA5496">
      <w:pPr>
        <w:pStyle w:val="a3"/>
        <w:jc w:val="right"/>
        <w:rPr>
          <w:rFonts w:ascii="Times New Roman" w:hAnsi="Times New Roman" w:cs="Times New Roman"/>
          <w:sz w:val="20"/>
          <w:szCs w:val="20"/>
        </w:rPr>
      </w:pPr>
      <w:r>
        <w:rPr>
          <w:rFonts w:ascii="Times New Roman" w:hAnsi="Times New Roman" w:cs="Times New Roman"/>
          <w:sz w:val="20"/>
          <w:szCs w:val="20"/>
        </w:rPr>
        <w:t>д</w:t>
      </w:r>
      <w:r w:rsidRPr="00701FDE">
        <w:rPr>
          <w:rFonts w:ascii="Times New Roman" w:hAnsi="Times New Roman" w:cs="Times New Roman"/>
          <w:sz w:val="20"/>
          <w:szCs w:val="20"/>
        </w:rPr>
        <w:t>иректор Національної асоціації сільськогосподарських дорадчих служб України,</w:t>
      </w:r>
    </w:p>
    <w:p w14:paraId="28C933AF" w14:textId="77777777" w:rsidR="00CA5496" w:rsidRDefault="00CA5496" w:rsidP="00CA5496">
      <w:pPr>
        <w:pStyle w:val="a3"/>
        <w:jc w:val="right"/>
        <w:rPr>
          <w:rFonts w:ascii="Times New Roman" w:hAnsi="Times New Roman" w:cs="Times New Roman"/>
          <w:i/>
          <w:sz w:val="20"/>
          <w:szCs w:val="20"/>
        </w:rPr>
      </w:pPr>
      <w:r w:rsidRPr="00701FDE">
        <w:rPr>
          <w:rFonts w:ascii="Times New Roman" w:hAnsi="Times New Roman" w:cs="Times New Roman"/>
          <w:sz w:val="20"/>
          <w:szCs w:val="20"/>
        </w:rPr>
        <w:t>кандидат економічних наук</w:t>
      </w:r>
      <w:r>
        <w:rPr>
          <w:rFonts w:ascii="Times New Roman" w:hAnsi="Times New Roman" w:cs="Times New Roman"/>
          <w:sz w:val="20"/>
          <w:szCs w:val="20"/>
        </w:rPr>
        <w:t>, магістр державного управління</w:t>
      </w:r>
    </w:p>
    <w:p w14:paraId="49D0947E" w14:textId="77777777" w:rsidR="00CA5496" w:rsidRDefault="00CA5496" w:rsidP="00CA5496">
      <w:pPr>
        <w:pStyle w:val="a3"/>
        <w:ind w:firstLine="567"/>
        <w:jc w:val="both"/>
        <w:rPr>
          <w:rFonts w:ascii="Times New Roman" w:hAnsi="Times New Roman" w:cs="Times New Roman"/>
          <w:i/>
          <w:sz w:val="20"/>
          <w:szCs w:val="20"/>
        </w:rPr>
      </w:pPr>
    </w:p>
    <w:p w14:paraId="61DD9065" w14:textId="77777777" w:rsidR="00CA5496" w:rsidRDefault="00CA5496" w:rsidP="00CA5496">
      <w:pPr>
        <w:pStyle w:val="a3"/>
        <w:ind w:firstLine="567"/>
        <w:jc w:val="both"/>
        <w:rPr>
          <w:rFonts w:ascii="Times New Roman" w:hAnsi="Times New Roman" w:cs="Times New Roman"/>
          <w:i/>
          <w:sz w:val="20"/>
          <w:szCs w:val="20"/>
        </w:rPr>
      </w:pPr>
    </w:p>
    <w:p w14:paraId="0BF95EBE" w14:textId="77777777" w:rsidR="00C45E1B" w:rsidRPr="00CA5496" w:rsidRDefault="00C45E1B" w:rsidP="00CA5496">
      <w:pPr>
        <w:pStyle w:val="a3"/>
        <w:ind w:firstLine="567"/>
        <w:jc w:val="both"/>
        <w:rPr>
          <w:rFonts w:ascii="Times New Roman" w:hAnsi="Times New Roman" w:cs="Times New Roman"/>
          <w:i/>
          <w:sz w:val="20"/>
          <w:szCs w:val="20"/>
        </w:rPr>
      </w:pPr>
      <w:r w:rsidRPr="00CA5496">
        <w:rPr>
          <w:rFonts w:ascii="Times New Roman" w:hAnsi="Times New Roman" w:cs="Times New Roman"/>
          <w:i/>
          <w:sz w:val="20"/>
          <w:szCs w:val="20"/>
        </w:rPr>
        <w:t>Ц</w:t>
      </w:r>
      <w:r w:rsidR="00CA5496" w:rsidRPr="00CA5496">
        <w:rPr>
          <w:rFonts w:ascii="Times New Roman" w:hAnsi="Times New Roman" w:cs="Times New Roman"/>
          <w:i/>
          <w:sz w:val="20"/>
          <w:szCs w:val="20"/>
        </w:rPr>
        <w:t xml:space="preserve">ю публікацію </w:t>
      </w:r>
      <w:r w:rsidR="007778A7">
        <w:rPr>
          <w:rFonts w:ascii="Times New Roman" w:hAnsi="Times New Roman" w:cs="Times New Roman"/>
          <w:i/>
          <w:sz w:val="20"/>
          <w:szCs w:val="20"/>
        </w:rPr>
        <w:t xml:space="preserve">створено </w:t>
      </w:r>
      <w:r w:rsidR="00CA5496" w:rsidRPr="00CA5496">
        <w:rPr>
          <w:rFonts w:ascii="Times New Roman" w:hAnsi="Times New Roman" w:cs="Times New Roman"/>
          <w:i/>
          <w:sz w:val="20"/>
          <w:szCs w:val="20"/>
        </w:rPr>
        <w:t>ВГО «Національна асоціація сільськогосподарських дорадчих служб України»</w:t>
      </w:r>
      <w:r w:rsidR="00CA5496" w:rsidRPr="00CA5496">
        <w:rPr>
          <w:rFonts w:ascii="Times New Roman" w:hAnsi="Times New Roman" w:cs="Times New Roman"/>
          <w:sz w:val="20"/>
          <w:szCs w:val="20"/>
        </w:rPr>
        <w:t xml:space="preserve"> </w:t>
      </w:r>
      <w:r w:rsidR="00CA5496" w:rsidRPr="00CA5496">
        <w:rPr>
          <w:rFonts w:ascii="Times New Roman" w:hAnsi="Times New Roman" w:cs="Times New Roman"/>
          <w:i/>
          <w:sz w:val="20"/>
          <w:szCs w:val="20"/>
        </w:rPr>
        <w:t xml:space="preserve">за підтримки Фонду «Аскольд і Дір», що </w:t>
      </w:r>
      <w:proofErr w:type="spellStart"/>
      <w:r w:rsidR="00CA5496" w:rsidRPr="00CA5496">
        <w:rPr>
          <w:rFonts w:ascii="Times New Roman" w:hAnsi="Times New Roman" w:cs="Times New Roman"/>
          <w:i/>
          <w:sz w:val="20"/>
          <w:szCs w:val="20"/>
        </w:rPr>
        <w:t>адмініструється</w:t>
      </w:r>
      <w:proofErr w:type="spellEnd"/>
      <w:r w:rsidR="00CA5496" w:rsidRPr="00CA5496">
        <w:rPr>
          <w:rFonts w:ascii="Times New Roman" w:hAnsi="Times New Roman" w:cs="Times New Roman"/>
          <w:i/>
          <w:sz w:val="20"/>
          <w:szCs w:val="20"/>
        </w:rPr>
        <w:t xml:space="preserve"> ІСАР Єднання в межах </w:t>
      </w:r>
      <w:proofErr w:type="spellStart"/>
      <w:r w:rsidR="00CA5496" w:rsidRPr="00CA5496">
        <w:rPr>
          <w:rFonts w:ascii="Times New Roman" w:hAnsi="Times New Roman" w:cs="Times New Roman"/>
          <w:i/>
          <w:sz w:val="20"/>
          <w:szCs w:val="20"/>
        </w:rPr>
        <w:t>проєкту</w:t>
      </w:r>
      <w:proofErr w:type="spellEnd"/>
      <w:r w:rsidR="00CA5496" w:rsidRPr="00CA5496">
        <w:rPr>
          <w:rFonts w:ascii="Times New Roman" w:hAnsi="Times New Roman" w:cs="Times New Roman"/>
          <w:i/>
          <w:sz w:val="20"/>
          <w:szCs w:val="20"/>
        </w:rPr>
        <w:t xml:space="preserve"> «Сильне громадянське суспільство України - рушій реформ і демократії» за фінансування Норвегії та Швеції. Зміст публікації є</w:t>
      </w:r>
      <w:r w:rsidR="00CA5496" w:rsidRPr="00CA5496">
        <w:rPr>
          <w:rFonts w:ascii="Times New Roman" w:hAnsi="Times New Roman" w:cs="Times New Roman"/>
          <w:sz w:val="20"/>
          <w:szCs w:val="20"/>
        </w:rPr>
        <w:t xml:space="preserve"> відповідальністю </w:t>
      </w:r>
      <w:r w:rsidR="00CA5496" w:rsidRPr="00CA5496">
        <w:rPr>
          <w:rFonts w:ascii="Times New Roman" w:hAnsi="Times New Roman" w:cs="Times New Roman"/>
          <w:i/>
          <w:sz w:val="20"/>
          <w:szCs w:val="20"/>
        </w:rPr>
        <w:t>ВГО «Національна асоціація сільськогосподарських дорадчих служб України» та не є відображенням поглядів урядів Норвегії, Швеції або ІСАР Єднання.</w:t>
      </w:r>
    </w:p>
    <w:p w14:paraId="78B44FA6" w14:textId="77777777" w:rsidR="00CA5496" w:rsidRPr="00CA5496" w:rsidRDefault="00CA5496" w:rsidP="00C45E1B">
      <w:pPr>
        <w:pStyle w:val="a3"/>
        <w:ind w:firstLine="567"/>
        <w:jc w:val="both"/>
        <w:rPr>
          <w:rFonts w:ascii="Times New Roman" w:hAnsi="Times New Roman" w:cs="Times New Roman"/>
          <w:i/>
          <w:sz w:val="20"/>
          <w:szCs w:val="20"/>
        </w:rPr>
      </w:pPr>
    </w:p>
    <w:p w14:paraId="38608F16" w14:textId="77777777" w:rsidR="00154FF8" w:rsidRPr="00745247" w:rsidRDefault="00154FF8" w:rsidP="00C45E1B">
      <w:pPr>
        <w:pStyle w:val="a3"/>
        <w:ind w:firstLine="567"/>
        <w:rPr>
          <w:b/>
          <w:lang w:eastAsia="uk-UA"/>
        </w:rPr>
      </w:pPr>
    </w:p>
    <w:p w14:paraId="6B5E1B87" w14:textId="77777777" w:rsidR="00745247" w:rsidRPr="00745247" w:rsidRDefault="00745247" w:rsidP="00522354">
      <w:pPr>
        <w:pStyle w:val="a3"/>
        <w:rPr>
          <w:b/>
        </w:rPr>
      </w:pPr>
    </w:p>
    <w:p w14:paraId="1452F066" w14:textId="77777777" w:rsidR="00745247" w:rsidRPr="00745247" w:rsidRDefault="00745247" w:rsidP="00522354">
      <w:pPr>
        <w:pStyle w:val="a3"/>
      </w:pPr>
    </w:p>
    <w:sectPr w:rsidR="00745247" w:rsidRPr="00745247" w:rsidSect="00516110">
      <w:headerReference w:type="default" r:id="rId7"/>
      <w:headerReference w:type="firs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6064" w14:textId="77777777" w:rsidR="00E00D5D" w:rsidRDefault="00E00D5D" w:rsidP="007C4078">
      <w:pPr>
        <w:spacing w:after="0" w:line="240" w:lineRule="auto"/>
      </w:pPr>
      <w:r>
        <w:separator/>
      </w:r>
    </w:p>
  </w:endnote>
  <w:endnote w:type="continuationSeparator" w:id="0">
    <w:p w14:paraId="5E32B565" w14:textId="77777777" w:rsidR="00E00D5D" w:rsidRDefault="00E00D5D" w:rsidP="007C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panose1 w:val="020B0004020202020204"/>
    <w:charset w:val="CC"/>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64750" w14:textId="77777777" w:rsidR="00E00D5D" w:rsidRDefault="00E00D5D" w:rsidP="007C4078">
      <w:pPr>
        <w:spacing w:after="0" w:line="240" w:lineRule="auto"/>
      </w:pPr>
      <w:r>
        <w:separator/>
      </w:r>
    </w:p>
  </w:footnote>
  <w:footnote w:type="continuationSeparator" w:id="0">
    <w:p w14:paraId="20761617" w14:textId="77777777" w:rsidR="00E00D5D" w:rsidRDefault="00E00D5D" w:rsidP="007C4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611111"/>
      <w:docPartObj>
        <w:docPartGallery w:val="Page Numbers (Top of Page)"/>
        <w:docPartUnique/>
      </w:docPartObj>
    </w:sdtPr>
    <w:sdtEndPr/>
    <w:sdtContent>
      <w:p w14:paraId="1758F183" w14:textId="6D6E4F7B" w:rsidR="00EA2236" w:rsidRDefault="00EA2236">
        <w:pPr>
          <w:pStyle w:val="a6"/>
          <w:jc w:val="center"/>
        </w:pPr>
        <w:r>
          <w:fldChar w:fldCharType="begin"/>
        </w:r>
        <w:r>
          <w:instrText>PAGE   \* MERGEFORMAT</w:instrText>
        </w:r>
        <w:r>
          <w:fldChar w:fldCharType="separate"/>
        </w:r>
        <w:r w:rsidR="006D1D7E">
          <w:rPr>
            <w:noProof/>
          </w:rPr>
          <w:t>6</w:t>
        </w:r>
        <w:r>
          <w:fldChar w:fldCharType="end"/>
        </w:r>
      </w:p>
    </w:sdtContent>
  </w:sdt>
  <w:p w14:paraId="4A35E729" w14:textId="77777777" w:rsidR="00EA2236" w:rsidRDefault="00EA223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25663"/>
      <w:docPartObj>
        <w:docPartGallery w:val="Page Numbers (Top of Page)"/>
        <w:docPartUnique/>
      </w:docPartObj>
    </w:sdtPr>
    <w:sdtEndPr/>
    <w:sdtContent>
      <w:p w14:paraId="76A60E3C" w14:textId="0548E619" w:rsidR="00516110" w:rsidRDefault="00516110">
        <w:pPr>
          <w:pStyle w:val="a6"/>
          <w:jc w:val="center"/>
        </w:pPr>
        <w:r>
          <w:fldChar w:fldCharType="begin"/>
        </w:r>
        <w:r>
          <w:instrText>PAGE   \* MERGEFORMAT</w:instrText>
        </w:r>
        <w:r>
          <w:fldChar w:fldCharType="separate"/>
        </w:r>
        <w:r w:rsidR="006D1D7E">
          <w:rPr>
            <w:noProof/>
          </w:rPr>
          <w:t>1</w:t>
        </w:r>
        <w:r>
          <w:fldChar w:fldCharType="end"/>
        </w:r>
      </w:p>
    </w:sdtContent>
  </w:sdt>
  <w:p w14:paraId="38FDD7BD" w14:textId="77777777" w:rsidR="00516110" w:rsidRDefault="0051611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B45"/>
    <w:multiLevelType w:val="hybridMultilevel"/>
    <w:tmpl w:val="FABC892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C474B5"/>
    <w:multiLevelType w:val="multilevel"/>
    <w:tmpl w:val="4214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04EE"/>
    <w:multiLevelType w:val="hybridMultilevel"/>
    <w:tmpl w:val="7B14464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7D40413"/>
    <w:multiLevelType w:val="multilevel"/>
    <w:tmpl w:val="FDA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17450"/>
    <w:multiLevelType w:val="multilevel"/>
    <w:tmpl w:val="F69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B7CA5"/>
    <w:multiLevelType w:val="hybridMultilevel"/>
    <w:tmpl w:val="4AB42D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375C2C"/>
    <w:multiLevelType w:val="hybridMultilevel"/>
    <w:tmpl w:val="5D54B2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5E4025F"/>
    <w:multiLevelType w:val="hybridMultilevel"/>
    <w:tmpl w:val="5A04A3E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5F46923"/>
    <w:multiLevelType w:val="multilevel"/>
    <w:tmpl w:val="6F1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E628B"/>
    <w:multiLevelType w:val="hybridMultilevel"/>
    <w:tmpl w:val="5D2CD76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758367A"/>
    <w:multiLevelType w:val="multilevel"/>
    <w:tmpl w:val="3D96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A6CB5"/>
    <w:multiLevelType w:val="multilevel"/>
    <w:tmpl w:val="610E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55AA9"/>
    <w:multiLevelType w:val="hybridMultilevel"/>
    <w:tmpl w:val="ADCC10D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03D7A89"/>
    <w:multiLevelType w:val="multilevel"/>
    <w:tmpl w:val="4B8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D2FE7"/>
    <w:multiLevelType w:val="multilevel"/>
    <w:tmpl w:val="C7BC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B6250"/>
    <w:multiLevelType w:val="multilevel"/>
    <w:tmpl w:val="AA3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B303E"/>
    <w:multiLevelType w:val="hybridMultilevel"/>
    <w:tmpl w:val="0752571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32801C12"/>
    <w:multiLevelType w:val="multilevel"/>
    <w:tmpl w:val="051A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91660"/>
    <w:multiLevelType w:val="hybridMultilevel"/>
    <w:tmpl w:val="2D2E8FF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E363A"/>
    <w:multiLevelType w:val="multilevel"/>
    <w:tmpl w:val="FF2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D33A2"/>
    <w:multiLevelType w:val="multilevel"/>
    <w:tmpl w:val="053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B3738"/>
    <w:multiLevelType w:val="hybridMultilevel"/>
    <w:tmpl w:val="617A216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05969B8"/>
    <w:multiLevelType w:val="multilevel"/>
    <w:tmpl w:val="2F5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86B28"/>
    <w:multiLevelType w:val="hybridMultilevel"/>
    <w:tmpl w:val="89420D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B4E2292"/>
    <w:multiLevelType w:val="hybridMultilevel"/>
    <w:tmpl w:val="FE84B7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0A04F16"/>
    <w:multiLevelType w:val="multilevel"/>
    <w:tmpl w:val="99EE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A25C5"/>
    <w:multiLevelType w:val="multilevel"/>
    <w:tmpl w:val="751C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F70AC"/>
    <w:multiLevelType w:val="hybridMultilevel"/>
    <w:tmpl w:val="902E9BC4"/>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59B40652"/>
    <w:multiLevelType w:val="hybridMultilevel"/>
    <w:tmpl w:val="610ED8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B0516BC"/>
    <w:multiLevelType w:val="multilevel"/>
    <w:tmpl w:val="B1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4284F"/>
    <w:multiLevelType w:val="multilevel"/>
    <w:tmpl w:val="2364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152EE"/>
    <w:multiLevelType w:val="hybridMultilevel"/>
    <w:tmpl w:val="60E230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EAE0F5A"/>
    <w:multiLevelType w:val="multilevel"/>
    <w:tmpl w:val="3426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E00DD4"/>
    <w:multiLevelType w:val="hybridMultilevel"/>
    <w:tmpl w:val="178A65C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8AB25E5"/>
    <w:multiLevelType w:val="hybridMultilevel"/>
    <w:tmpl w:val="31222F4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6CF67B20"/>
    <w:multiLevelType w:val="multilevel"/>
    <w:tmpl w:val="AB1E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2289D"/>
    <w:multiLevelType w:val="hybridMultilevel"/>
    <w:tmpl w:val="92FA1EC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6E6E5114"/>
    <w:multiLevelType w:val="multilevel"/>
    <w:tmpl w:val="793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F160D"/>
    <w:multiLevelType w:val="multilevel"/>
    <w:tmpl w:val="6D42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D7DE9"/>
    <w:multiLevelType w:val="hybridMultilevel"/>
    <w:tmpl w:val="DEC0EE7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09E2106"/>
    <w:multiLevelType w:val="multilevel"/>
    <w:tmpl w:val="2E5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0B0348"/>
    <w:multiLevelType w:val="multilevel"/>
    <w:tmpl w:val="08F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B28BD"/>
    <w:multiLevelType w:val="multilevel"/>
    <w:tmpl w:val="0F8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B4CF6"/>
    <w:multiLevelType w:val="multilevel"/>
    <w:tmpl w:val="5C4A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2"/>
  </w:num>
  <w:num w:numId="3">
    <w:abstractNumId w:val="40"/>
  </w:num>
  <w:num w:numId="4">
    <w:abstractNumId w:val="43"/>
  </w:num>
  <w:num w:numId="5">
    <w:abstractNumId w:val="35"/>
  </w:num>
  <w:num w:numId="6">
    <w:abstractNumId w:val="14"/>
  </w:num>
  <w:num w:numId="7">
    <w:abstractNumId w:val="30"/>
  </w:num>
  <w:num w:numId="8">
    <w:abstractNumId w:val="15"/>
  </w:num>
  <w:num w:numId="9">
    <w:abstractNumId w:val="19"/>
  </w:num>
  <w:num w:numId="10">
    <w:abstractNumId w:val="28"/>
  </w:num>
  <w:num w:numId="11">
    <w:abstractNumId w:val="31"/>
  </w:num>
  <w:num w:numId="12">
    <w:abstractNumId w:val="13"/>
  </w:num>
  <w:num w:numId="13">
    <w:abstractNumId w:val="26"/>
  </w:num>
  <w:num w:numId="14">
    <w:abstractNumId w:val="32"/>
  </w:num>
  <w:num w:numId="15">
    <w:abstractNumId w:val="3"/>
  </w:num>
  <w:num w:numId="16">
    <w:abstractNumId w:val="17"/>
  </w:num>
  <w:num w:numId="17">
    <w:abstractNumId w:val="22"/>
  </w:num>
  <w:num w:numId="18">
    <w:abstractNumId w:val="25"/>
  </w:num>
  <w:num w:numId="19">
    <w:abstractNumId w:val="41"/>
  </w:num>
  <w:num w:numId="20">
    <w:abstractNumId w:val="4"/>
  </w:num>
  <w:num w:numId="21">
    <w:abstractNumId w:val="11"/>
  </w:num>
  <w:num w:numId="22">
    <w:abstractNumId w:val="38"/>
  </w:num>
  <w:num w:numId="23">
    <w:abstractNumId w:val="8"/>
  </w:num>
  <w:num w:numId="24">
    <w:abstractNumId w:val="20"/>
  </w:num>
  <w:num w:numId="25">
    <w:abstractNumId w:val="37"/>
  </w:num>
  <w:num w:numId="26">
    <w:abstractNumId w:val="29"/>
  </w:num>
  <w:num w:numId="27">
    <w:abstractNumId w:val="10"/>
  </w:num>
  <w:num w:numId="28">
    <w:abstractNumId w:val="24"/>
  </w:num>
  <w:num w:numId="29">
    <w:abstractNumId w:val="27"/>
  </w:num>
  <w:num w:numId="30">
    <w:abstractNumId w:val="23"/>
  </w:num>
  <w:num w:numId="31">
    <w:abstractNumId w:val="39"/>
  </w:num>
  <w:num w:numId="32">
    <w:abstractNumId w:val="6"/>
  </w:num>
  <w:num w:numId="33">
    <w:abstractNumId w:val="0"/>
  </w:num>
  <w:num w:numId="34">
    <w:abstractNumId w:val="36"/>
  </w:num>
  <w:num w:numId="35">
    <w:abstractNumId w:val="34"/>
  </w:num>
  <w:num w:numId="36">
    <w:abstractNumId w:val="21"/>
  </w:num>
  <w:num w:numId="37">
    <w:abstractNumId w:val="16"/>
  </w:num>
  <w:num w:numId="38">
    <w:abstractNumId w:val="12"/>
  </w:num>
  <w:num w:numId="39">
    <w:abstractNumId w:val="18"/>
  </w:num>
  <w:num w:numId="40">
    <w:abstractNumId w:val="2"/>
  </w:num>
  <w:num w:numId="41">
    <w:abstractNumId w:val="33"/>
  </w:num>
  <w:num w:numId="42">
    <w:abstractNumId w:val="9"/>
  </w:num>
  <w:num w:numId="43">
    <w:abstractNumId w:val="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C4"/>
    <w:rsid w:val="00154FF8"/>
    <w:rsid w:val="0016522F"/>
    <w:rsid w:val="001B5CC4"/>
    <w:rsid w:val="00386DC8"/>
    <w:rsid w:val="00516110"/>
    <w:rsid w:val="00522354"/>
    <w:rsid w:val="005413A5"/>
    <w:rsid w:val="0054604D"/>
    <w:rsid w:val="005B5B15"/>
    <w:rsid w:val="006D1D7E"/>
    <w:rsid w:val="00701FDE"/>
    <w:rsid w:val="00745247"/>
    <w:rsid w:val="007778A7"/>
    <w:rsid w:val="007C4078"/>
    <w:rsid w:val="007D78A5"/>
    <w:rsid w:val="007F27C3"/>
    <w:rsid w:val="00820EC0"/>
    <w:rsid w:val="008D34D2"/>
    <w:rsid w:val="009071CD"/>
    <w:rsid w:val="00907B29"/>
    <w:rsid w:val="009C7AA3"/>
    <w:rsid w:val="00AC4235"/>
    <w:rsid w:val="00AD715A"/>
    <w:rsid w:val="00AE62C0"/>
    <w:rsid w:val="00AF527C"/>
    <w:rsid w:val="00B51B6B"/>
    <w:rsid w:val="00B71802"/>
    <w:rsid w:val="00BB21D3"/>
    <w:rsid w:val="00C43112"/>
    <w:rsid w:val="00C45E1B"/>
    <w:rsid w:val="00CA5496"/>
    <w:rsid w:val="00CA6E03"/>
    <w:rsid w:val="00D006DF"/>
    <w:rsid w:val="00E00D5D"/>
    <w:rsid w:val="00E74D9D"/>
    <w:rsid w:val="00EA2236"/>
    <w:rsid w:val="00EB18E7"/>
    <w:rsid w:val="00EB19C4"/>
    <w:rsid w:val="00FA1062"/>
    <w:rsid w:val="00FA2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EAAC"/>
  <w15:chartTrackingRefBased/>
  <w15:docId w15:val="{CFE37AB9-D6D5-473D-A8B4-810E8A33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D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9C4"/>
    <w:pPr>
      <w:spacing w:after="0" w:line="240" w:lineRule="auto"/>
    </w:pPr>
  </w:style>
  <w:style w:type="paragraph" w:styleId="a4">
    <w:name w:val="Normal (Web)"/>
    <w:basedOn w:val="a"/>
    <w:uiPriority w:val="99"/>
    <w:semiHidden/>
    <w:unhideWhenUsed/>
    <w:rsid w:val="00701F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7F27C3"/>
    <w:rPr>
      <w:b/>
      <w:bCs/>
    </w:rPr>
  </w:style>
  <w:style w:type="paragraph" w:styleId="a6">
    <w:name w:val="header"/>
    <w:basedOn w:val="a"/>
    <w:link w:val="a7"/>
    <w:uiPriority w:val="99"/>
    <w:unhideWhenUsed/>
    <w:rsid w:val="007C407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C4078"/>
  </w:style>
  <w:style w:type="paragraph" w:styleId="a8">
    <w:name w:val="footer"/>
    <w:basedOn w:val="a"/>
    <w:link w:val="a9"/>
    <w:uiPriority w:val="99"/>
    <w:unhideWhenUsed/>
    <w:rsid w:val="007C407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C4078"/>
  </w:style>
  <w:style w:type="paragraph" w:styleId="aa">
    <w:name w:val="List Paragraph"/>
    <w:basedOn w:val="a"/>
    <w:uiPriority w:val="34"/>
    <w:qFormat/>
    <w:rsid w:val="005B5B15"/>
    <w:pPr>
      <w:ind w:left="720"/>
      <w:contextualSpacing/>
    </w:pPr>
  </w:style>
  <w:style w:type="table" w:styleId="ab">
    <w:name w:val="Table Grid"/>
    <w:basedOn w:val="a1"/>
    <w:uiPriority w:val="39"/>
    <w:rsid w:val="00AF5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4191">
      <w:bodyDiv w:val="1"/>
      <w:marLeft w:val="0"/>
      <w:marRight w:val="0"/>
      <w:marTop w:val="0"/>
      <w:marBottom w:val="0"/>
      <w:divBdr>
        <w:top w:val="none" w:sz="0" w:space="0" w:color="auto"/>
        <w:left w:val="none" w:sz="0" w:space="0" w:color="auto"/>
        <w:bottom w:val="none" w:sz="0" w:space="0" w:color="auto"/>
        <w:right w:val="none" w:sz="0" w:space="0" w:color="auto"/>
      </w:divBdr>
    </w:div>
    <w:div w:id="134638851">
      <w:bodyDiv w:val="1"/>
      <w:marLeft w:val="0"/>
      <w:marRight w:val="0"/>
      <w:marTop w:val="0"/>
      <w:marBottom w:val="0"/>
      <w:divBdr>
        <w:top w:val="none" w:sz="0" w:space="0" w:color="auto"/>
        <w:left w:val="none" w:sz="0" w:space="0" w:color="auto"/>
        <w:bottom w:val="none" w:sz="0" w:space="0" w:color="auto"/>
        <w:right w:val="none" w:sz="0" w:space="0" w:color="auto"/>
      </w:divBdr>
    </w:div>
    <w:div w:id="308903348">
      <w:bodyDiv w:val="1"/>
      <w:marLeft w:val="0"/>
      <w:marRight w:val="0"/>
      <w:marTop w:val="0"/>
      <w:marBottom w:val="0"/>
      <w:divBdr>
        <w:top w:val="none" w:sz="0" w:space="0" w:color="auto"/>
        <w:left w:val="none" w:sz="0" w:space="0" w:color="auto"/>
        <w:bottom w:val="none" w:sz="0" w:space="0" w:color="auto"/>
        <w:right w:val="none" w:sz="0" w:space="0" w:color="auto"/>
      </w:divBdr>
      <w:divsChild>
        <w:div w:id="886113521">
          <w:marLeft w:val="0"/>
          <w:marRight w:val="0"/>
          <w:marTop w:val="0"/>
          <w:marBottom w:val="0"/>
          <w:divBdr>
            <w:top w:val="none" w:sz="0" w:space="0" w:color="auto"/>
            <w:left w:val="none" w:sz="0" w:space="0" w:color="auto"/>
            <w:bottom w:val="none" w:sz="0" w:space="0" w:color="auto"/>
            <w:right w:val="none" w:sz="0" w:space="0" w:color="auto"/>
          </w:divBdr>
          <w:divsChild>
            <w:div w:id="809831987">
              <w:marLeft w:val="0"/>
              <w:marRight w:val="0"/>
              <w:marTop w:val="0"/>
              <w:marBottom w:val="0"/>
              <w:divBdr>
                <w:top w:val="none" w:sz="0" w:space="0" w:color="auto"/>
                <w:left w:val="none" w:sz="0" w:space="0" w:color="auto"/>
                <w:bottom w:val="none" w:sz="0" w:space="0" w:color="auto"/>
                <w:right w:val="none" w:sz="0" w:space="0" w:color="auto"/>
              </w:divBdr>
              <w:divsChild>
                <w:div w:id="1364406480">
                  <w:marLeft w:val="0"/>
                  <w:marRight w:val="0"/>
                  <w:marTop w:val="0"/>
                  <w:marBottom w:val="0"/>
                  <w:divBdr>
                    <w:top w:val="none" w:sz="0" w:space="0" w:color="auto"/>
                    <w:left w:val="none" w:sz="0" w:space="0" w:color="auto"/>
                    <w:bottom w:val="none" w:sz="0" w:space="0" w:color="auto"/>
                    <w:right w:val="none" w:sz="0" w:space="0" w:color="auto"/>
                  </w:divBdr>
                  <w:divsChild>
                    <w:div w:id="181089436">
                      <w:marLeft w:val="0"/>
                      <w:marRight w:val="0"/>
                      <w:marTop w:val="0"/>
                      <w:marBottom w:val="0"/>
                      <w:divBdr>
                        <w:top w:val="none" w:sz="0" w:space="0" w:color="auto"/>
                        <w:left w:val="none" w:sz="0" w:space="0" w:color="auto"/>
                        <w:bottom w:val="none" w:sz="0" w:space="0" w:color="auto"/>
                        <w:right w:val="none" w:sz="0" w:space="0" w:color="auto"/>
                      </w:divBdr>
                      <w:divsChild>
                        <w:div w:id="904072670">
                          <w:marLeft w:val="0"/>
                          <w:marRight w:val="0"/>
                          <w:marTop w:val="0"/>
                          <w:marBottom w:val="0"/>
                          <w:divBdr>
                            <w:top w:val="none" w:sz="0" w:space="0" w:color="auto"/>
                            <w:left w:val="none" w:sz="0" w:space="0" w:color="auto"/>
                            <w:bottom w:val="none" w:sz="0" w:space="0" w:color="auto"/>
                            <w:right w:val="none" w:sz="0" w:space="0" w:color="auto"/>
                          </w:divBdr>
                          <w:divsChild>
                            <w:div w:id="1565722369">
                              <w:marLeft w:val="0"/>
                              <w:marRight w:val="0"/>
                              <w:marTop w:val="0"/>
                              <w:marBottom w:val="0"/>
                              <w:divBdr>
                                <w:top w:val="none" w:sz="0" w:space="0" w:color="auto"/>
                                <w:left w:val="none" w:sz="0" w:space="0" w:color="auto"/>
                                <w:bottom w:val="none" w:sz="0" w:space="0" w:color="auto"/>
                                <w:right w:val="none" w:sz="0" w:space="0" w:color="auto"/>
                              </w:divBdr>
                              <w:divsChild>
                                <w:div w:id="18991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77791">
          <w:marLeft w:val="0"/>
          <w:marRight w:val="0"/>
          <w:marTop w:val="0"/>
          <w:marBottom w:val="0"/>
          <w:divBdr>
            <w:top w:val="none" w:sz="0" w:space="0" w:color="auto"/>
            <w:left w:val="none" w:sz="0" w:space="0" w:color="auto"/>
            <w:bottom w:val="none" w:sz="0" w:space="0" w:color="auto"/>
            <w:right w:val="none" w:sz="0" w:space="0" w:color="auto"/>
          </w:divBdr>
          <w:divsChild>
            <w:div w:id="1542478298">
              <w:marLeft w:val="0"/>
              <w:marRight w:val="0"/>
              <w:marTop w:val="0"/>
              <w:marBottom w:val="0"/>
              <w:divBdr>
                <w:top w:val="none" w:sz="0" w:space="0" w:color="auto"/>
                <w:left w:val="none" w:sz="0" w:space="0" w:color="auto"/>
                <w:bottom w:val="none" w:sz="0" w:space="0" w:color="auto"/>
                <w:right w:val="none" w:sz="0" w:space="0" w:color="auto"/>
              </w:divBdr>
              <w:divsChild>
                <w:div w:id="1373505275">
                  <w:marLeft w:val="0"/>
                  <w:marRight w:val="0"/>
                  <w:marTop w:val="0"/>
                  <w:marBottom w:val="0"/>
                  <w:divBdr>
                    <w:top w:val="none" w:sz="0" w:space="0" w:color="auto"/>
                    <w:left w:val="none" w:sz="0" w:space="0" w:color="auto"/>
                    <w:bottom w:val="none" w:sz="0" w:space="0" w:color="auto"/>
                    <w:right w:val="none" w:sz="0" w:space="0" w:color="auto"/>
                  </w:divBdr>
                  <w:divsChild>
                    <w:div w:id="1355691828">
                      <w:marLeft w:val="0"/>
                      <w:marRight w:val="0"/>
                      <w:marTop w:val="0"/>
                      <w:marBottom w:val="0"/>
                      <w:divBdr>
                        <w:top w:val="none" w:sz="0" w:space="0" w:color="auto"/>
                        <w:left w:val="none" w:sz="0" w:space="0" w:color="auto"/>
                        <w:bottom w:val="none" w:sz="0" w:space="0" w:color="auto"/>
                        <w:right w:val="none" w:sz="0" w:space="0" w:color="auto"/>
                      </w:divBdr>
                      <w:divsChild>
                        <w:div w:id="1683897133">
                          <w:marLeft w:val="0"/>
                          <w:marRight w:val="0"/>
                          <w:marTop w:val="0"/>
                          <w:marBottom w:val="0"/>
                          <w:divBdr>
                            <w:top w:val="none" w:sz="0" w:space="0" w:color="auto"/>
                            <w:left w:val="none" w:sz="0" w:space="0" w:color="auto"/>
                            <w:bottom w:val="none" w:sz="0" w:space="0" w:color="auto"/>
                            <w:right w:val="none" w:sz="0" w:space="0" w:color="auto"/>
                          </w:divBdr>
                          <w:divsChild>
                            <w:div w:id="1470317438">
                              <w:marLeft w:val="0"/>
                              <w:marRight w:val="0"/>
                              <w:marTop w:val="0"/>
                              <w:marBottom w:val="0"/>
                              <w:divBdr>
                                <w:top w:val="none" w:sz="0" w:space="0" w:color="auto"/>
                                <w:left w:val="none" w:sz="0" w:space="0" w:color="auto"/>
                                <w:bottom w:val="none" w:sz="0" w:space="0" w:color="auto"/>
                                <w:right w:val="none" w:sz="0" w:space="0" w:color="auto"/>
                              </w:divBdr>
                              <w:divsChild>
                                <w:div w:id="1961447550">
                                  <w:marLeft w:val="0"/>
                                  <w:marRight w:val="0"/>
                                  <w:marTop w:val="0"/>
                                  <w:marBottom w:val="0"/>
                                  <w:divBdr>
                                    <w:top w:val="none" w:sz="0" w:space="0" w:color="auto"/>
                                    <w:left w:val="none" w:sz="0" w:space="0" w:color="auto"/>
                                    <w:bottom w:val="none" w:sz="0" w:space="0" w:color="auto"/>
                                    <w:right w:val="none" w:sz="0" w:space="0" w:color="auto"/>
                                  </w:divBdr>
                                  <w:divsChild>
                                    <w:div w:id="773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407514">
      <w:bodyDiv w:val="1"/>
      <w:marLeft w:val="0"/>
      <w:marRight w:val="0"/>
      <w:marTop w:val="0"/>
      <w:marBottom w:val="0"/>
      <w:divBdr>
        <w:top w:val="none" w:sz="0" w:space="0" w:color="auto"/>
        <w:left w:val="none" w:sz="0" w:space="0" w:color="auto"/>
        <w:bottom w:val="none" w:sz="0" w:space="0" w:color="auto"/>
        <w:right w:val="none" w:sz="0" w:space="0" w:color="auto"/>
      </w:divBdr>
      <w:divsChild>
        <w:div w:id="14011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811822">
      <w:bodyDiv w:val="1"/>
      <w:marLeft w:val="0"/>
      <w:marRight w:val="0"/>
      <w:marTop w:val="0"/>
      <w:marBottom w:val="0"/>
      <w:divBdr>
        <w:top w:val="none" w:sz="0" w:space="0" w:color="auto"/>
        <w:left w:val="none" w:sz="0" w:space="0" w:color="auto"/>
        <w:bottom w:val="none" w:sz="0" w:space="0" w:color="auto"/>
        <w:right w:val="none" w:sz="0" w:space="0" w:color="auto"/>
      </w:divBdr>
    </w:div>
    <w:div w:id="775102098">
      <w:bodyDiv w:val="1"/>
      <w:marLeft w:val="0"/>
      <w:marRight w:val="0"/>
      <w:marTop w:val="0"/>
      <w:marBottom w:val="0"/>
      <w:divBdr>
        <w:top w:val="none" w:sz="0" w:space="0" w:color="auto"/>
        <w:left w:val="none" w:sz="0" w:space="0" w:color="auto"/>
        <w:bottom w:val="none" w:sz="0" w:space="0" w:color="auto"/>
        <w:right w:val="none" w:sz="0" w:space="0" w:color="auto"/>
      </w:divBdr>
    </w:div>
    <w:div w:id="917904468">
      <w:bodyDiv w:val="1"/>
      <w:marLeft w:val="0"/>
      <w:marRight w:val="0"/>
      <w:marTop w:val="0"/>
      <w:marBottom w:val="0"/>
      <w:divBdr>
        <w:top w:val="none" w:sz="0" w:space="0" w:color="auto"/>
        <w:left w:val="none" w:sz="0" w:space="0" w:color="auto"/>
        <w:bottom w:val="none" w:sz="0" w:space="0" w:color="auto"/>
        <w:right w:val="none" w:sz="0" w:space="0" w:color="auto"/>
      </w:divBdr>
      <w:divsChild>
        <w:div w:id="28554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837401">
      <w:bodyDiv w:val="1"/>
      <w:marLeft w:val="0"/>
      <w:marRight w:val="0"/>
      <w:marTop w:val="0"/>
      <w:marBottom w:val="0"/>
      <w:divBdr>
        <w:top w:val="none" w:sz="0" w:space="0" w:color="auto"/>
        <w:left w:val="none" w:sz="0" w:space="0" w:color="auto"/>
        <w:bottom w:val="none" w:sz="0" w:space="0" w:color="auto"/>
        <w:right w:val="none" w:sz="0" w:space="0" w:color="auto"/>
      </w:divBdr>
    </w:div>
    <w:div w:id="1174149756">
      <w:bodyDiv w:val="1"/>
      <w:marLeft w:val="0"/>
      <w:marRight w:val="0"/>
      <w:marTop w:val="0"/>
      <w:marBottom w:val="0"/>
      <w:divBdr>
        <w:top w:val="none" w:sz="0" w:space="0" w:color="auto"/>
        <w:left w:val="none" w:sz="0" w:space="0" w:color="auto"/>
        <w:bottom w:val="none" w:sz="0" w:space="0" w:color="auto"/>
        <w:right w:val="none" w:sz="0" w:space="0" w:color="auto"/>
      </w:divBdr>
    </w:div>
    <w:div w:id="1337270469">
      <w:bodyDiv w:val="1"/>
      <w:marLeft w:val="0"/>
      <w:marRight w:val="0"/>
      <w:marTop w:val="0"/>
      <w:marBottom w:val="0"/>
      <w:divBdr>
        <w:top w:val="none" w:sz="0" w:space="0" w:color="auto"/>
        <w:left w:val="none" w:sz="0" w:space="0" w:color="auto"/>
        <w:bottom w:val="none" w:sz="0" w:space="0" w:color="auto"/>
        <w:right w:val="none" w:sz="0" w:space="0" w:color="auto"/>
      </w:divBdr>
    </w:div>
    <w:div w:id="1409577505">
      <w:bodyDiv w:val="1"/>
      <w:marLeft w:val="0"/>
      <w:marRight w:val="0"/>
      <w:marTop w:val="0"/>
      <w:marBottom w:val="0"/>
      <w:divBdr>
        <w:top w:val="none" w:sz="0" w:space="0" w:color="auto"/>
        <w:left w:val="none" w:sz="0" w:space="0" w:color="auto"/>
        <w:bottom w:val="none" w:sz="0" w:space="0" w:color="auto"/>
        <w:right w:val="none" w:sz="0" w:space="0" w:color="auto"/>
      </w:divBdr>
    </w:div>
    <w:div w:id="1672676441">
      <w:bodyDiv w:val="1"/>
      <w:marLeft w:val="0"/>
      <w:marRight w:val="0"/>
      <w:marTop w:val="0"/>
      <w:marBottom w:val="0"/>
      <w:divBdr>
        <w:top w:val="none" w:sz="0" w:space="0" w:color="auto"/>
        <w:left w:val="none" w:sz="0" w:space="0" w:color="auto"/>
        <w:bottom w:val="none" w:sz="0" w:space="0" w:color="auto"/>
        <w:right w:val="none" w:sz="0" w:space="0" w:color="auto"/>
      </w:divBdr>
      <w:divsChild>
        <w:div w:id="2129623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864821">
      <w:bodyDiv w:val="1"/>
      <w:marLeft w:val="0"/>
      <w:marRight w:val="0"/>
      <w:marTop w:val="0"/>
      <w:marBottom w:val="0"/>
      <w:divBdr>
        <w:top w:val="none" w:sz="0" w:space="0" w:color="auto"/>
        <w:left w:val="none" w:sz="0" w:space="0" w:color="auto"/>
        <w:bottom w:val="none" w:sz="0" w:space="0" w:color="auto"/>
        <w:right w:val="none" w:sz="0" w:space="0" w:color="auto"/>
      </w:divBdr>
    </w:div>
    <w:div w:id="1918055005">
      <w:bodyDiv w:val="1"/>
      <w:marLeft w:val="0"/>
      <w:marRight w:val="0"/>
      <w:marTop w:val="0"/>
      <w:marBottom w:val="0"/>
      <w:divBdr>
        <w:top w:val="none" w:sz="0" w:space="0" w:color="auto"/>
        <w:left w:val="none" w:sz="0" w:space="0" w:color="auto"/>
        <w:bottom w:val="none" w:sz="0" w:space="0" w:color="auto"/>
        <w:right w:val="none" w:sz="0" w:space="0" w:color="auto"/>
      </w:divBdr>
    </w:div>
    <w:div w:id="1943370213">
      <w:bodyDiv w:val="1"/>
      <w:marLeft w:val="0"/>
      <w:marRight w:val="0"/>
      <w:marTop w:val="0"/>
      <w:marBottom w:val="0"/>
      <w:divBdr>
        <w:top w:val="none" w:sz="0" w:space="0" w:color="auto"/>
        <w:left w:val="none" w:sz="0" w:space="0" w:color="auto"/>
        <w:bottom w:val="none" w:sz="0" w:space="0" w:color="auto"/>
        <w:right w:val="none" w:sz="0" w:space="0" w:color="auto"/>
      </w:divBdr>
    </w:div>
    <w:div w:id="2043168643">
      <w:bodyDiv w:val="1"/>
      <w:marLeft w:val="0"/>
      <w:marRight w:val="0"/>
      <w:marTop w:val="0"/>
      <w:marBottom w:val="0"/>
      <w:divBdr>
        <w:top w:val="none" w:sz="0" w:space="0" w:color="auto"/>
        <w:left w:val="none" w:sz="0" w:space="0" w:color="auto"/>
        <w:bottom w:val="none" w:sz="0" w:space="0" w:color="auto"/>
        <w:right w:val="none" w:sz="0" w:space="0" w:color="auto"/>
      </w:divBdr>
    </w:div>
    <w:div w:id="2077509029">
      <w:bodyDiv w:val="1"/>
      <w:marLeft w:val="0"/>
      <w:marRight w:val="0"/>
      <w:marTop w:val="0"/>
      <w:marBottom w:val="0"/>
      <w:divBdr>
        <w:top w:val="none" w:sz="0" w:space="0" w:color="auto"/>
        <w:left w:val="none" w:sz="0" w:space="0" w:color="auto"/>
        <w:bottom w:val="none" w:sz="0" w:space="0" w:color="auto"/>
        <w:right w:val="none" w:sz="0" w:space="0" w:color="auto"/>
      </w:divBdr>
    </w:div>
    <w:div w:id="2107265776">
      <w:bodyDiv w:val="1"/>
      <w:marLeft w:val="0"/>
      <w:marRight w:val="0"/>
      <w:marTop w:val="0"/>
      <w:marBottom w:val="0"/>
      <w:divBdr>
        <w:top w:val="none" w:sz="0" w:space="0" w:color="auto"/>
        <w:left w:val="none" w:sz="0" w:space="0" w:color="auto"/>
        <w:bottom w:val="none" w:sz="0" w:space="0" w:color="auto"/>
        <w:right w:val="none" w:sz="0" w:space="0" w:color="auto"/>
      </w:divBdr>
    </w:div>
    <w:div w:id="21216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11005</Words>
  <Characters>6274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2026-02-20T07:27:00Z</dcterms:created>
  <dcterms:modified xsi:type="dcterms:W3CDTF">2026-02-23T08:11:00Z</dcterms:modified>
</cp:coreProperties>
</file>